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11"/>
        </w:tabs>
        <w:rPr>
          <w:rFonts w:hint="eastAsia"/>
          <w:sz w:val="32"/>
          <w:szCs w:val="32"/>
          <w:u w:val="none"/>
        </w:rPr>
      </w:pPr>
      <w:r>
        <w:rPr>
          <w:rFonts w:hint="eastAsia"/>
          <w:sz w:val="32"/>
          <w:szCs w:val="32"/>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sz w:val="32"/>
          <w:szCs w:val="32"/>
          <w:u w:val="none"/>
          <w:lang w:eastAsia="zh-CN"/>
        </w:rPr>
        <w:instrText xml:space="preserve">ADDIN CNKISM.UserStyle</w:instrText>
      </w:r>
      <w:r>
        <w:rPr>
          <w:rFonts w:hint="eastAsia"/>
          <w:sz w:val="32"/>
          <w:szCs w:val="32"/>
          <w:u w:val="none"/>
        </w:rPr>
        <w:fldChar w:fldCharType="separate"/>
      </w:r>
      <w:r>
        <w:rPr>
          <w:rFonts w:hint="eastAsia"/>
          <w:sz w:val="32"/>
          <w:szCs w:val="32"/>
          <w:u w:val="none"/>
        </w:rPr>
        <w:fldChar w:fldCharType="end"/>
      </w:r>
      <w:r>
        <w:rPr>
          <w:rFonts w:hint="eastAsia"/>
          <w:sz w:val="32"/>
          <w:szCs w:val="32"/>
          <w:u w:val="none"/>
        </w:rPr>
        <w:t xml:space="preserve"> </w:t>
      </w:r>
    </w:p>
    <w:p>
      <w:pPr>
        <w:ind w:firstLine="482"/>
        <w:jc w:val="center"/>
        <w:rPr>
          <w:sz w:val="36"/>
          <w:szCs w:val="36"/>
          <w:u w:val="none"/>
        </w:rPr>
      </w:pPr>
      <w:r>
        <w:rPr>
          <w:rFonts w:ascii="仿宋" w:hAnsi="仿宋" w:eastAsia="仿宋"/>
          <w:b/>
          <w:u w:val="none"/>
        </w:rPr>
        <w:drawing>
          <wp:inline distT="0" distB="0" distL="114300" distR="114300">
            <wp:extent cx="3909060" cy="784860"/>
            <wp:effectExtent l="0" t="0" r="2540" b="2540"/>
            <wp:docPr id="1" name="图片 3" descr="备份公示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备份公示栏"/>
                    <pic:cNvPicPr>
                      <a:picLocks noChangeAspect="1"/>
                    </pic:cNvPicPr>
                  </pic:nvPicPr>
                  <pic:blipFill>
                    <a:blip r:embed="rId15"/>
                    <a:stretch>
                      <a:fillRect/>
                    </a:stretch>
                  </pic:blipFill>
                  <pic:spPr>
                    <a:xfrm>
                      <a:off x="0" y="0"/>
                      <a:ext cx="3909060" cy="784860"/>
                    </a:xfrm>
                    <a:prstGeom prst="rect">
                      <a:avLst/>
                    </a:prstGeom>
                    <a:noFill/>
                    <a:ln>
                      <a:noFill/>
                    </a:ln>
                  </pic:spPr>
                </pic:pic>
              </a:graphicData>
            </a:graphic>
          </wp:inline>
        </w:drawing>
      </w:r>
    </w:p>
    <w:p>
      <w:pPr>
        <w:ind w:firstLine="1040"/>
        <w:jc w:val="center"/>
        <w:rPr>
          <w:rFonts w:eastAsia="方正大标宋简体"/>
          <w:sz w:val="52"/>
          <w:szCs w:val="48"/>
          <w:u w:val="none"/>
        </w:rPr>
      </w:pPr>
    </w:p>
    <w:p>
      <w:pPr>
        <w:ind w:firstLine="1044"/>
        <w:jc w:val="center"/>
        <w:rPr>
          <w:rFonts w:hint="eastAsia" w:ascii="黑体" w:hAnsi="黑体" w:eastAsia="黑体" w:cs="黑体"/>
          <w:b/>
          <w:bCs/>
          <w:sz w:val="52"/>
          <w:szCs w:val="48"/>
          <w:u w:val="none"/>
        </w:rPr>
      </w:pPr>
      <w:r>
        <w:rPr>
          <w:rFonts w:hint="eastAsia" w:ascii="黑体" w:hAnsi="黑体" w:eastAsia="黑体" w:cs="黑体"/>
          <w:b/>
          <w:bCs/>
          <w:sz w:val="52"/>
          <w:szCs w:val="48"/>
          <w:u w:val="none"/>
        </w:rPr>
        <w:t>人才培养方案</w:t>
      </w:r>
    </w:p>
    <w:p>
      <w:pPr>
        <w:ind w:firstLine="960"/>
        <w:jc w:val="center"/>
        <w:rPr>
          <w:rFonts w:eastAsia="方正大标宋简体"/>
          <w:sz w:val="48"/>
          <w:szCs w:val="48"/>
          <w:u w:val="none"/>
        </w:rPr>
      </w:pPr>
    </w:p>
    <w:tbl>
      <w:tblPr>
        <w:tblStyle w:val="16"/>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114"/>
        <w:gridCol w:w="421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专业类别</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土木建筑</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专业名称</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现代物业管理</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hint="eastAsia" w:eastAsia="黑体"/>
                <w:sz w:val="28"/>
                <w:szCs w:val="28"/>
                <w:u w:val="none"/>
              </w:rPr>
            </w:pPr>
            <w:r>
              <w:rPr>
                <w:rFonts w:hint="eastAsia" w:eastAsia="黑体"/>
                <w:sz w:val="28"/>
                <w:szCs w:val="28"/>
                <w:u w:val="none"/>
              </w:rPr>
              <w:t>专业代码</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eastAsia="仿宋_GB2312"/>
                <w:sz w:val="28"/>
                <w:szCs w:val="28"/>
                <w:u w:val="none"/>
              </w:rPr>
            </w:pPr>
            <w:r>
              <w:rPr>
                <w:rFonts w:hint="eastAsia" w:ascii="仿宋" w:hAnsi="仿宋" w:eastAsia="仿宋" w:cs="仿宋"/>
                <w:sz w:val="28"/>
                <w:szCs w:val="28"/>
                <w:u w:val="none"/>
              </w:rPr>
              <w:t>440703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招生性质</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普通高等学校全国统一考试招生</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学制</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3年</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专业负责人</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赵玮</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eastAsia="黑体"/>
                <w:sz w:val="28"/>
                <w:szCs w:val="28"/>
                <w:u w:val="none"/>
              </w:rPr>
            </w:pPr>
            <w:r>
              <w:rPr>
                <w:rFonts w:hint="eastAsia" w:eastAsia="黑体"/>
                <w:sz w:val="28"/>
                <w:szCs w:val="28"/>
                <w:u w:val="none"/>
              </w:rPr>
              <w:t>系主任</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hint="eastAsia" w:eastAsia="仿宋_GB2312"/>
                <w:sz w:val="28"/>
                <w:szCs w:val="28"/>
                <w:u w:val="none"/>
              </w:rPr>
            </w:pPr>
            <w:r>
              <w:rPr>
                <w:rFonts w:hint="eastAsia" w:eastAsia="仿宋_GB2312"/>
                <w:sz w:val="28"/>
                <w:szCs w:val="28"/>
                <w:u w:val="none"/>
              </w:rPr>
              <w:t>程峰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22" w:hRule="atLeast"/>
          <w:jc w:val="center"/>
        </w:trPr>
        <w:tc>
          <w:tcPr>
            <w:tcW w:w="2114" w:type="dxa"/>
            <w:tcBorders>
              <w:top w:val="single" w:color="FFFFFF" w:sz="4" w:space="0"/>
              <w:left w:val="single" w:color="FFFFFF" w:sz="4" w:space="0"/>
              <w:bottom w:val="single" w:color="FFFFFF" w:sz="4" w:space="0"/>
              <w:right w:val="single" w:color="FFFFFF" w:sz="4" w:space="0"/>
            </w:tcBorders>
            <w:noWrap w:val="0"/>
            <w:vAlign w:val="center"/>
          </w:tcPr>
          <w:p>
            <w:pPr>
              <w:ind w:firstLine="0" w:firstLineChars="0"/>
              <w:jc w:val="distribute"/>
              <w:rPr>
                <w:rFonts w:hint="default" w:eastAsia="黑体"/>
                <w:sz w:val="28"/>
                <w:szCs w:val="28"/>
                <w:u w:val="none"/>
                <w:lang w:val="en-US" w:eastAsia="zh-CN"/>
              </w:rPr>
            </w:pPr>
            <w:r>
              <w:rPr>
                <w:rFonts w:hint="eastAsia" w:eastAsia="黑体"/>
                <w:sz w:val="28"/>
                <w:szCs w:val="28"/>
                <w:u w:val="none"/>
                <w:lang w:val="en-US" w:eastAsia="zh-CN"/>
              </w:rPr>
              <w:t>制</w:t>
            </w:r>
            <w:r>
              <w:rPr>
                <w:rFonts w:hint="eastAsia" w:eastAsia="黑体"/>
                <w:color w:val="auto"/>
                <w:sz w:val="28"/>
                <w:szCs w:val="28"/>
                <w:u w:val="none"/>
                <w:lang w:eastAsia="zh-CN"/>
              </w:rPr>
              <w:t>（修）</w:t>
            </w:r>
            <w:r>
              <w:rPr>
                <w:rFonts w:hint="eastAsia" w:eastAsia="黑体"/>
                <w:sz w:val="28"/>
                <w:szCs w:val="28"/>
                <w:u w:val="none"/>
                <w:lang w:val="en-US" w:eastAsia="zh-CN"/>
              </w:rPr>
              <w:t>订日期</w:t>
            </w:r>
          </w:p>
        </w:tc>
        <w:tc>
          <w:tcPr>
            <w:tcW w:w="4213" w:type="dxa"/>
            <w:tcBorders>
              <w:top w:val="single" w:color="FFFFFF" w:sz="4" w:space="0"/>
              <w:left w:val="single" w:color="FFFFFF" w:sz="4" w:space="0"/>
              <w:bottom w:val="single" w:color="auto" w:sz="4" w:space="0"/>
              <w:right w:val="single" w:color="FFFFFF" w:sz="4" w:space="0"/>
            </w:tcBorders>
            <w:noWrap w:val="0"/>
            <w:vAlign w:val="center"/>
          </w:tcPr>
          <w:p>
            <w:pPr>
              <w:ind w:firstLine="0" w:firstLineChars="0"/>
              <w:jc w:val="center"/>
              <w:rPr>
                <w:rFonts w:eastAsia="仿宋_GB2312"/>
                <w:sz w:val="28"/>
                <w:szCs w:val="28"/>
                <w:u w:val="none"/>
              </w:rPr>
            </w:pPr>
            <w:r>
              <w:rPr>
                <w:rFonts w:hint="eastAsia" w:ascii="仿宋" w:hAnsi="仿宋" w:eastAsia="仿宋" w:cs="仿宋"/>
                <w:sz w:val="28"/>
                <w:szCs w:val="28"/>
                <w:u w:val="none"/>
              </w:rPr>
              <w:t>202</w:t>
            </w: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3</w:t>
            </w:r>
            <w:r>
              <w:rPr>
                <w:rFonts w:hint="eastAsia" w:ascii="仿宋" w:hAnsi="仿宋" w:eastAsia="仿宋" w:cs="仿宋"/>
                <w:sz w:val="28"/>
                <w:szCs w:val="28"/>
                <w:u w:val="none"/>
              </w:rPr>
              <w:t>月</w:t>
            </w:r>
          </w:p>
        </w:tc>
      </w:tr>
    </w:tbl>
    <w:p>
      <w:pPr>
        <w:ind w:firstLine="0" w:firstLineChars="0"/>
        <w:jc w:val="center"/>
        <w:rPr>
          <w:rFonts w:eastAsia="方正大标宋简体"/>
          <w:sz w:val="28"/>
          <w:szCs w:val="28"/>
          <w:u w:val="none"/>
        </w:rPr>
      </w:pPr>
    </w:p>
    <w:p>
      <w:pPr>
        <w:ind w:firstLine="0" w:firstLineChars="0"/>
        <w:rPr>
          <w:rFonts w:eastAsia="方正大标宋简体"/>
          <w:sz w:val="28"/>
          <w:szCs w:val="28"/>
          <w:u w:val="none"/>
        </w:rPr>
      </w:pPr>
    </w:p>
    <w:p>
      <w:pPr>
        <w:ind w:firstLine="3080" w:firstLineChars="1100"/>
        <w:rPr>
          <w:rFonts w:eastAsia="方正魏碑简体"/>
          <w:sz w:val="28"/>
          <w:szCs w:val="28"/>
          <w:u w:val="none"/>
        </w:rPr>
      </w:pPr>
      <w:r>
        <w:rPr>
          <w:rFonts w:hint="eastAsia" w:eastAsia="方正魏碑简体"/>
          <w:sz w:val="28"/>
          <w:szCs w:val="28"/>
          <w:u w:val="none"/>
        </w:rPr>
        <w:t>安徽审计</w:t>
      </w:r>
      <w:r>
        <w:rPr>
          <w:rFonts w:eastAsia="方正魏碑简体"/>
          <w:sz w:val="28"/>
          <w:szCs w:val="28"/>
          <w:u w:val="none"/>
        </w:rPr>
        <w:t>职业学院</w:t>
      </w:r>
      <w:r>
        <w:rPr>
          <w:rFonts w:hint="eastAsia" w:eastAsia="方正魏碑简体"/>
          <w:sz w:val="28"/>
          <w:szCs w:val="28"/>
          <w:u w:val="none"/>
        </w:rPr>
        <w:t>教务处制</w:t>
      </w:r>
    </w:p>
    <w:p>
      <w:pPr>
        <w:ind w:firstLine="560"/>
        <w:jc w:val="center"/>
        <w:rPr>
          <w:rFonts w:hint="eastAsia" w:eastAsia="方正魏碑简体"/>
          <w:sz w:val="28"/>
          <w:szCs w:val="28"/>
          <w:u w:val="none"/>
        </w:rPr>
      </w:pPr>
      <w:r>
        <w:rPr>
          <w:rFonts w:hint="eastAsia" w:eastAsia="方正魏碑简体"/>
          <w:sz w:val="28"/>
          <w:szCs w:val="28"/>
          <w:u w:val="none"/>
        </w:rPr>
        <w:t>二〇二</w:t>
      </w:r>
      <w:r>
        <w:rPr>
          <w:rFonts w:hint="eastAsia" w:eastAsia="方正魏碑简体"/>
          <w:sz w:val="28"/>
          <w:szCs w:val="28"/>
          <w:u w:val="none"/>
          <w:lang w:eastAsia="zh-CN"/>
        </w:rPr>
        <w:t>二</w:t>
      </w:r>
      <w:r>
        <w:rPr>
          <w:rFonts w:hint="eastAsia" w:eastAsia="方正魏碑简体"/>
          <w:sz w:val="28"/>
          <w:szCs w:val="28"/>
          <w:u w:val="none"/>
        </w:rPr>
        <w:t>年</w:t>
      </w:r>
      <w:r>
        <w:rPr>
          <w:rFonts w:hint="eastAsia" w:eastAsia="方正魏碑简体"/>
          <w:sz w:val="28"/>
          <w:szCs w:val="28"/>
          <w:u w:val="none"/>
          <w:lang w:eastAsia="zh-CN"/>
        </w:rPr>
        <w:t>三</w:t>
      </w:r>
      <w:r>
        <w:rPr>
          <w:rFonts w:hint="eastAsia" w:eastAsia="方正魏碑简体"/>
          <w:sz w:val="28"/>
          <w:szCs w:val="28"/>
          <w:u w:val="none"/>
        </w:rPr>
        <w:t>月</w:t>
      </w:r>
    </w:p>
    <w:p>
      <w:pPr>
        <w:ind w:firstLine="560"/>
        <w:jc w:val="center"/>
        <w:rPr>
          <w:rFonts w:hint="eastAsia" w:eastAsia="方正魏碑简体"/>
          <w:sz w:val="28"/>
          <w:szCs w:val="28"/>
          <w:u w:val="none"/>
        </w:rPr>
        <w:sectPr>
          <w:headerReference r:id="rId7" w:type="first"/>
          <w:footerReference r:id="rId10" w:type="first"/>
          <w:headerReference r:id="rId5" w:type="default"/>
          <w:footerReference r:id="rId8" w:type="default"/>
          <w:headerReference r:id="rId6" w:type="even"/>
          <w:footerReference r:id="rId9" w:type="even"/>
          <w:pgSz w:w="11906" w:h="16838"/>
          <w:pgMar w:top="1247" w:right="1418" w:bottom="1247" w:left="1701" w:header="851" w:footer="992" w:gutter="0"/>
          <w:pgNumType w:start="1"/>
          <w:cols w:space="720" w:num="1"/>
          <w:titlePg/>
          <w:docGrid w:type="lines" w:linePitch="312" w:charSpace="0"/>
        </w:sectPr>
      </w:pPr>
    </w:p>
    <w:p>
      <w:pPr>
        <w:spacing w:before="312" w:beforeLines="100" w:after="156" w:afterLines="50"/>
        <w:ind w:firstLine="643"/>
        <w:jc w:val="center"/>
        <w:rPr>
          <w:rFonts w:hint="eastAsia" w:ascii="黑体" w:hAnsi="宋体" w:eastAsia="黑体" w:cs="宋体"/>
          <w:b/>
          <w:kern w:val="0"/>
          <w:sz w:val="32"/>
          <w:szCs w:val="32"/>
          <w:u w:val="none"/>
        </w:rPr>
      </w:pPr>
      <w:r>
        <w:rPr>
          <w:rFonts w:hint="eastAsia" w:ascii="黑体" w:hAnsi="宋体" w:eastAsia="黑体" w:cs="宋体"/>
          <w:b/>
          <w:kern w:val="0"/>
          <w:sz w:val="32"/>
          <w:szCs w:val="32"/>
          <w:u w:val="none"/>
        </w:rPr>
        <w:t>目     录</w:t>
      </w:r>
    </w:p>
    <w:p>
      <w:pPr>
        <w:spacing w:line="240" w:lineRule="auto"/>
        <w:ind w:firstLine="0" w:firstLineChars="0"/>
        <w:jc w:val="center"/>
        <w:rPr>
          <w:u w:val="none"/>
        </w:rPr>
      </w:pP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u w:val="none"/>
        </w:rPr>
        <w:instrText xml:space="preserve"> TOC \o "1-2" \h \z \u </w:instrText>
      </w:r>
      <w:r>
        <w:rPr>
          <w:rFonts w:hint="eastAsia" w:ascii="黑体" w:hAnsi="黑体" w:eastAsia="黑体" w:cs="黑体"/>
          <w:sz w:val="21"/>
          <w:szCs w:val="21"/>
          <w:u w:val="none"/>
        </w:rPr>
        <w:fldChar w:fldCharType="separate"/>
      </w: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_Toc16902 </w:instrText>
      </w:r>
      <w:r>
        <w:rPr>
          <w:rFonts w:hint="eastAsia" w:ascii="黑体" w:hAnsi="黑体" w:eastAsia="黑体" w:cs="黑体"/>
          <w:sz w:val="21"/>
          <w:szCs w:val="21"/>
        </w:rPr>
        <w:fldChar w:fldCharType="separate"/>
      </w:r>
      <w:r>
        <w:rPr>
          <w:rFonts w:hint="eastAsia" w:ascii="黑体" w:hAnsi="黑体" w:eastAsia="黑体" w:cs="黑体"/>
          <w:sz w:val="21"/>
          <w:szCs w:val="21"/>
        </w:rPr>
        <w:t>一、专业名称及代码</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_Toc16902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_Toc23526 </w:instrText>
      </w:r>
      <w:r>
        <w:rPr>
          <w:rFonts w:hint="eastAsia" w:ascii="黑体" w:hAnsi="黑体" w:eastAsia="黑体" w:cs="黑体"/>
          <w:sz w:val="21"/>
          <w:szCs w:val="21"/>
        </w:rPr>
        <w:fldChar w:fldCharType="separate"/>
      </w:r>
      <w:r>
        <w:rPr>
          <w:rFonts w:hint="eastAsia" w:ascii="黑体" w:hAnsi="黑体" w:eastAsia="黑体" w:cs="黑体"/>
          <w:sz w:val="21"/>
          <w:szCs w:val="21"/>
        </w:rPr>
        <w:t>二、入学要求（招生对象）</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_Toc23526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_Toc26729 </w:instrText>
      </w:r>
      <w:r>
        <w:rPr>
          <w:rFonts w:hint="eastAsia" w:ascii="黑体" w:hAnsi="黑体" w:eastAsia="黑体" w:cs="黑体"/>
          <w:sz w:val="21"/>
          <w:szCs w:val="21"/>
        </w:rPr>
        <w:fldChar w:fldCharType="separate"/>
      </w:r>
      <w:r>
        <w:rPr>
          <w:rFonts w:hint="eastAsia" w:ascii="黑体" w:hAnsi="黑体" w:eastAsia="黑体" w:cs="黑体"/>
          <w:sz w:val="21"/>
          <w:szCs w:val="21"/>
        </w:rPr>
        <w:t>三、修业年限</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_Toc26729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_Toc4779 </w:instrText>
      </w:r>
      <w:r>
        <w:rPr>
          <w:rFonts w:hint="eastAsia" w:ascii="黑体" w:hAnsi="黑体" w:eastAsia="黑体" w:cs="黑体"/>
          <w:sz w:val="21"/>
          <w:szCs w:val="21"/>
        </w:rPr>
        <w:fldChar w:fldCharType="separate"/>
      </w:r>
      <w:r>
        <w:rPr>
          <w:rFonts w:hint="eastAsia" w:ascii="黑体" w:hAnsi="黑体" w:eastAsia="黑体" w:cs="黑体"/>
          <w:sz w:val="21"/>
          <w:szCs w:val="21"/>
        </w:rPr>
        <w:t>四、职业面向</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_Toc4779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_Toc18933 </w:instrText>
      </w:r>
      <w:r>
        <w:rPr>
          <w:rFonts w:hint="eastAsia" w:ascii="黑体" w:hAnsi="黑体" w:eastAsia="黑体" w:cs="黑体"/>
          <w:sz w:val="21"/>
          <w:szCs w:val="21"/>
        </w:rPr>
        <w:fldChar w:fldCharType="separate"/>
      </w:r>
      <w:r>
        <w:rPr>
          <w:rFonts w:hint="eastAsia" w:ascii="黑体" w:hAnsi="黑体" w:eastAsia="黑体" w:cs="黑体"/>
          <w:sz w:val="21"/>
          <w:szCs w:val="21"/>
        </w:rPr>
        <w:t>五、培养目标与培养规格</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_Toc18933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_Toc20886 </w:instrText>
      </w:r>
      <w:r>
        <w:rPr>
          <w:rFonts w:hint="eastAsia" w:ascii="黑体" w:hAnsi="黑体" w:eastAsia="黑体" w:cs="黑体"/>
          <w:sz w:val="21"/>
          <w:szCs w:val="21"/>
        </w:rPr>
        <w:fldChar w:fldCharType="separate"/>
      </w:r>
      <w:r>
        <w:rPr>
          <w:rFonts w:hint="eastAsia" w:ascii="黑体" w:hAnsi="黑体" w:eastAsia="黑体" w:cs="黑体"/>
          <w:sz w:val="21"/>
          <w:szCs w:val="21"/>
        </w:rPr>
        <w:t>（一）培养目标</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_Toc20886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_Toc804 </w:instrText>
      </w:r>
      <w:r>
        <w:rPr>
          <w:rFonts w:hint="eastAsia" w:ascii="黑体" w:hAnsi="黑体" w:eastAsia="黑体" w:cs="黑体"/>
          <w:sz w:val="21"/>
          <w:szCs w:val="21"/>
        </w:rPr>
        <w:fldChar w:fldCharType="separate"/>
      </w:r>
      <w:r>
        <w:rPr>
          <w:rFonts w:hint="eastAsia" w:ascii="黑体" w:hAnsi="黑体" w:eastAsia="黑体" w:cs="黑体"/>
          <w:sz w:val="21"/>
          <w:szCs w:val="21"/>
          <w:highlight w:val="none"/>
        </w:rPr>
        <w:t>（二）培养规格</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_Toc804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_Toc25176 </w:instrText>
      </w:r>
      <w:r>
        <w:rPr>
          <w:rFonts w:hint="eastAsia" w:ascii="黑体" w:hAnsi="黑体" w:eastAsia="黑体" w:cs="黑体"/>
          <w:sz w:val="21"/>
          <w:szCs w:val="21"/>
        </w:rPr>
        <w:fldChar w:fldCharType="separate"/>
      </w:r>
      <w:r>
        <w:rPr>
          <w:rFonts w:hint="eastAsia" w:ascii="黑体" w:hAnsi="黑体" w:eastAsia="黑体" w:cs="黑体"/>
          <w:sz w:val="21"/>
          <w:szCs w:val="21"/>
        </w:rPr>
        <w:t>六、课程体系与课程设置及要求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_Toc25176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_Toc16794 </w:instrText>
      </w:r>
      <w:r>
        <w:rPr>
          <w:rFonts w:hint="eastAsia" w:ascii="黑体" w:hAnsi="黑体" w:eastAsia="黑体" w:cs="黑体"/>
          <w:sz w:val="21"/>
          <w:szCs w:val="21"/>
        </w:rPr>
        <w:fldChar w:fldCharType="separate"/>
      </w:r>
      <w:r>
        <w:rPr>
          <w:rFonts w:hint="eastAsia" w:ascii="黑体" w:hAnsi="黑体" w:eastAsia="黑体" w:cs="黑体"/>
          <w:sz w:val="21"/>
          <w:szCs w:val="21"/>
        </w:rPr>
        <w:t>（一）课程体系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_Toc16794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_Toc25577 </w:instrText>
      </w:r>
      <w:r>
        <w:rPr>
          <w:rFonts w:hint="eastAsia" w:ascii="黑体" w:hAnsi="黑体" w:eastAsia="黑体" w:cs="黑体"/>
          <w:sz w:val="21"/>
          <w:szCs w:val="21"/>
        </w:rPr>
        <w:fldChar w:fldCharType="separate"/>
      </w:r>
      <w:r>
        <w:rPr>
          <w:rFonts w:hint="eastAsia" w:ascii="黑体" w:hAnsi="黑体" w:eastAsia="黑体" w:cs="黑体"/>
          <w:sz w:val="21"/>
          <w:szCs w:val="21"/>
        </w:rPr>
        <w:t>（二）课程设置</w:t>
      </w:r>
      <w:r>
        <w:rPr>
          <w:rFonts w:hint="eastAsia" w:ascii="黑体" w:hAnsi="黑体" w:eastAsia="黑体" w:cs="黑体"/>
          <w:sz w:val="21"/>
          <w:szCs w:val="21"/>
        </w:rPr>
        <w:tab/>
      </w:r>
      <w:r>
        <w:rPr>
          <w:rFonts w:hint="eastAsia" w:ascii="黑体" w:hAnsi="黑体" w:eastAsia="黑体" w:cs="黑体"/>
          <w:sz w:val="21"/>
          <w:szCs w:val="21"/>
          <w:lang w:val="en-US" w:eastAsia="zh-CN"/>
        </w:rPr>
        <w:t>6</w:t>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_Toc22696 </w:instrText>
      </w:r>
      <w:r>
        <w:rPr>
          <w:rFonts w:hint="eastAsia" w:ascii="黑体" w:hAnsi="黑体" w:eastAsia="黑体" w:cs="黑体"/>
          <w:sz w:val="21"/>
          <w:szCs w:val="21"/>
        </w:rPr>
        <w:fldChar w:fldCharType="separate"/>
      </w:r>
      <w:r>
        <w:rPr>
          <w:rFonts w:hint="eastAsia" w:ascii="黑体" w:hAnsi="黑体" w:eastAsia="黑体" w:cs="黑体"/>
          <w:kern w:val="44"/>
          <w:sz w:val="21"/>
          <w:szCs w:val="21"/>
        </w:rPr>
        <w:t>七、教学进程总体安排</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_Toc22696 \h </w:instrText>
      </w:r>
      <w:r>
        <w:rPr>
          <w:rFonts w:hint="eastAsia" w:ascii="黑体" w:hAnsi="黑体" w:eastAsia="黑体" w:cs="黑体"/>
          <w:sz w:val="21"/>
          <w:szCs w:val="21"/>
        </w:rPr>
        <w:fldChar w:fldCharType="separate"/>
      </w:r>
      <w:r>
        <w:rPr>
          <w:rFonts w:hint="eastAsia" w:ascii="黑体" w:hAnsi="黑体" w:eastAsia="黑体" w:cs="黑体"/>
          <w:sz w:val="21"/>
          <w:szCs w:val="21"/>
        </w:rPr>
        <w:t>17</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_Toc21396 </w:instrText>
      </w:r>
      <w:r>
        <w:rPr>
          <w:rFonts w:hint="eastAsia" w:ascii="黑体" w:hAnsi="黑体" w:eastAsia="黑体" w:cs="黑体"/>
          <w:sz w:val="21"/>
          <w:szCs w:val="21"/>
        </w:rPr>
        <w:fldChar w:fldCharType="separate"/>
      </w:r>
      <w:r>
        <w:rPr>
          <w:rFonts w:hint="eastAsia" w:ascii="黑体" w:hAnsi="黑体" w:eastAsia="黑体" w:cs="黑体"/>
          <w:sz w:val="21"/>
          <w:szCs w:val="21"/>
        </w:rPr>
        <w:t>八、实施保障</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_Toc21396 \h </w:instrText>
      </w:r>
      <w:r>
        <w:rPr>
          <w:rFonts w:hint="eastAsia" w:ascii="黑体" w:hAnsi="黑体" w:eastAsia="黑体" w:cs="黑体"/>
          <w:sz w:val="21"/>
          <w:szCs w:val="21"/>
        </w:rPr>
        <w:fldChar w:fldCharType="separate"/>
      </w:r>
      <w:r>
        <w:rPr>
          <w:rFonts w:hint="eastAsia" w:ascii="黑体" w:hAnsi="黑体" w:eastAsia="黑体" w:cs="黑体"/>
          <w:sz w:val="21"/>
          <w:szCs w:val="21"/>
        </w:rPr>
        <w:t>18</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_Toc21191 </w:instrText>
      </w:r>
      <w:r>
        <w:rPr>
          <w:rFonts w:hint="eastAsia" w:ascii="黑体" w:hAnsi="黑体" w:eastAsia="黑体" w:cs="黑体"/>
          <w:sz w:val="21"/>
          <w:szCs w:val="21"/>
        </w:rPr>
        <w:fldChar w:fldCharType="separate"/>
      </w:r>
      <w:r>
        <w:rPr>
          <w:rFonts w:hint="eastAsia" w:ascii="黑体" w:hAnsi="黑体" w:eastAsia="黑体" w:cs="黑体"/>
          <w:sz w:val="21"/>
          <w:szCs w:val="21"/>
        </w:rPr>
        <w:t>（一）师资队伍</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_Toc21191 \h </w:instrText>
      </w:r>
      <w:r>
        <w:rPr>
          <w:rFonts w:hint="eastAsia" w:ascii="黑体" w:hAnsi="黑体" w:eastAsia="黑体" w:cs="黑体"/>
          <w:sz w:val="21"/>
          <w:szCs w:val="21"/>
        </w:rPr>
        <w:fldChar w:fldCharType="separate"/>
      </w:r>
      <w:r>
        <w:rPr>
          <w:rFonts w:hint="eastAsia" w:ascii="黑体" w:hAnsi="黑体" w:eastAsia="黑体" w:cs="黑体"/>
          <w:sz w:val="21"/>
          <w:szCs w:val="21"/>
        </w:rPr>
        <w:t>18</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_Toc21240 </w:instrText>
      </w:r>
      <w:r>
        <w:rPr>
          <w:rFonts w:hint="eastAsia" w:ascii="黑体" w:hAnsi="黑体" w:eastAsia="黑体" w:cs="黑体"/>
          <w:sz w:val="21"/>
          <w:szCs w:val="21"/>
        </w:rPr>
        <w:fldChar w:fldCharType="separate"/>
      </w:r>
      <w:r>
        <w:rPr>
          <w:rFonts w:hint="eastAsia" w:ascii="黑体" w:hAnsi="黑体" w:eastAsia="黑体" w:cs="黑体"/>
          <w:sz w:val="21"/>
          <w:szCs w:val="21"/>
        </w:rPr>
        <w:t>（二）教学设施</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_Toc21240 \h </w:instrText>
      </w:r>
      <w:r>
        <w:rPr>
          <w:rFonts w:hint="eastAsia" w:ascii="黑体" w:hAnsi="黑体" w:eastAsia="黑体" w:cs="黑体"/>
          <w:sz w:val="21"/>
          <w:szCs w:val="21"/>
        </w:rPr>
        <w:fldChar w:fldCharType="separate"/>
      </w:r>
      <w:r>
        <w:rPr>
          <w:rFonts w:hint="eastAsia" w:ascii="黑体" w:hAnsi="黑体" w:eastAsia="黑体" w:cs="黑体"/>
          <w:sz w:val="21"/>
          <w:szCs w:val="21"/>
        </w:rPr>
        <w:t>19</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_Toc12281 </w:instrText>
      </w:r>
      <w:r>
        <w:rPr>
          <w:rFonts w:hint="eastAsia" w:ascii="黑体" w:hAnsi="黑体" w:eastAsia="黑体" w:cs="黑体"/>
          <w:sz w:val="21"/>
          <w:szCs w:val="21"/>
        </w:rPr>
        <w:fldChar w:fldCharType="separate"/>
      </w:r>
      <w:r>
        <w:rPr>
          <w:rFonts w:hint="eastAsia" w:ascii="黑体" w:hAnsi="黑体" w:eastAsia="黑体" w:cs="黑体"/>
          <w:sz w:val="21"/>
          <w:szCs w:val="21"/>
        </w:rPr>
        <w:t>（三）教学资源</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_Toc12281 \h </w:instrText>
      </w:r>
      <w:r>
        <w:rPr>
          <w:rFonts w:hint="eastAsia" w:ascii="黑体" w:hAnsi="黑体" w:eastAsia="黑体" w:cs="黑体"/>
          <w:sz w:val="21"/>
          <w:szCs w:val="21"/>
        </w:rPr>
        <w:fldChar w:fldCharType="separate"/>
      </w:r>
      <w:r>
        <w:rPr>
          <w:rFonts w:hint="eastAsia" w:ascii="黑体" w:hAnsi="黑体" w:eastAsia="黑体" w:cs="黑体"/>
          <w:sz w:val="21"/>
          <w:szCs w:val="21"/>
        </w:rPr>
        <w:t>20</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_Toc15207 </w:instrText>
      </w:r>
      <w:r>
        <w:rPr>
          <w:rFonts w:hint="eastAsia" w:ascii="黑体" w:hAnsi="黑体" w:eastAsia="黑体" w:cs="黑体"/>
          <w:sz w:val="21"/>
          <w:szCs w:val="21"/>
        </w:rPr>
        <w:fldChar w:fldCharType="separate"/>
      </w:r>
      <w:r>
        <w:rPr>
          <w:rFonts w:hint="eastAsia" w:ascii="黑体" w:hAnsi="黑体" w:eastAsia="黑体" w:cs="黑体"/>
          <w:sz w:val="21"/>
          <w:szCs w:val="21"/>
        </w:rPr>
        <w:t>（四）教学方法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_Toc15207 \h </w:instrText>
      </w:r>
      <w:r>
        <w:rPr>
          <w:rFonts w:hint="eastAsia" w:ascii="黑体" w:hAnsi="黑体" w:eastAsia="黑体" w:cs="黑体"/>
          <w:sz w:val="21"/>
          <w:szCs w:val="21"/>
        </w:rPr>
        <w:fldChar w:fldCharType="separate"/>
      </w:r>
      <w:r>
        <w:rPr>
          <w:rFonts w:hint="eastAsia" w:ascii="黑体" w:hAnsi="黑体" w:eastAsia="黑体" w:cs="黑体"/>
          <w:sz w:val="21"/>
          <w:szCs w:val="21"/>
        </w:rPr>
        <w:t>20</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_Toc16442 </w:instrText>
      </w:r>
      <w:r>
        <w:rPr>
          <w:rFonts w:hint="eastAsia" w:ascii="黑体" w:hAnsi="黑体" w:eastAsia="黑体" w:cs="黑体"/>
          <w:sz w:val="21"/>
          <w:szCs w:val="21"/>
        </w:rPr>
        <w:fldChar w:fldCharType="separate"/>
      </w:r>
      <w:r>
        <w:rPr>
          <w:rFonts w:hint="eastAsia" w:ascii="黑体" w:hAnsi="黑体" w:eastAsia="黑体" w:cs="黑体"/>
          <w:sz w:val="21"/>
          <w:szCs w:val="21"/>
        </w:rPr>
        <w:t>（五）学习评价</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_Toc16442 \h </w:instrText>
      </w:r>
      <w:r>
        <w:rPr>
          <w:rFonts w:hint="eastAsia" w:ascii="黑体" w:hAnsi="黑体" w:eastAsia="黑体" w:cs="黑体"/>
          <w:sz w:val="21"/>
          <w:szCs w:val="21"/>
        </w:rPr>
        <w:fldChar w:fldCharType="separate"/>
      </w:r>
      <w:r>
        <w:rPr>
          <w:rFonts w:hint="eastAsia" w:ascii="黑体" w:hAnsi="黑体" w:eastAsia="黑体" w:cs="黑体"/>
          <w:sz w:val="21"/>
          <w:szCs w:val="21"/>
        </w:rPr>
        <w:t>21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_Toc20763 </w:instrText>
      </w:r>
      <w:r>
        <w:rPr>
          <w:rFonts w:hint="eastAsia" w:ascii="黑体" w:hAnsi="黑体" w:eastAsia="黑体" w:cs="黑体"/>
          <w:sz w:val="21"/>
          <w:szCs w:val="21"/>
        </w:rPr>
        <w:fldChar w:fldCharType="separate"/>
      </w:r>
      <w:r>
        <w:rPr>
          <w:rFonts w:hint="eastAsia" w:ascii="黑体" w:hAnsi="黑体" w:eastAsia="黑体" w:cs="黑体"/>
          <w:sz w:val="21"/>
          <w:szCs w:val="21"/>
        </w:rPr>
        <w:t>（六）质量管理</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_Toc20763 \h </w:instrText>
      </w:r>
      <w:r>
        <w:rPr>
          <w:rFonts w:hint="eastAsia" w:ascii="黑体" w:hAnsi="黑体" w:eastAsia="黑体" w:cs="黑体"/>
          <w:sz w:val="21"/>
          <w:szCs w:val="21"/>
        </w:rPr>
        <w:fldChar w:fldCharType="separate"/>
      </w:r>
      <w:r>
        <w:rPr>
          <w:rFonts w:hint="eastAsia" w:ascii="黑体" w:hAnsi="黑体" w:eastAsia="黑体" w:cs="黑体"/>
          <w:sz w:val="21"/>
          <w:szCs w:val="21"/>
        </w:rPr>
        <w:t>21</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_Toc16992 </w:instrText>
      </w:r>
      <w:r>
        <w:rPr>
          <w:rFonts w:hint="eastAsia" w:ascii="黑体" w:hAnsi="黑体" w:eastAsia="黑体" w:cs="黑体"/>
          <w:sz w:val="21"/>
          <w:szCs w:val="21"/>
        </w:rPr>
        <w:fldChar w:fldCharType="separate"/>
      </w:r>
      <w:r>
        <w:rPr>
          <w:rFonts w:hint="eastAsia" w:ascii="黑体" w:hAnsi="黑体" w:eastAsia="黑体" w:cs="黑体"/>
          <w:sz w:val="21"/>
          <w:szCs w:val="21"/>
        </w:rPr>
        <w:t>九、学分管理和学分认定转换</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_Toc16992 \h </w:instrText>
      </w:r>
      <w:r>
        <w:rPr>
          <w:rFonts w:hint="eastAsia" w:ascii="黑体" w:hAnsi="黑体" w:eastAsia="黑体" w:cs="黑体"/>
          <w:sz w:val="21"/>
          <w:szCs w:val="21"/>
        </w:rPr>
        <w:fldChar w:fldCharType="separate"/>
      </w:r>
      <w:r>
        <w:rPr>
          <w:rFonts w:hint="eastAsia" w:ascii="黑体" w:hAnsi="黑体" w:eastAsia="黑体" w:cs="黑体"/>
          <w:sz w:val="21"/>
          <w:szCs w:val="21"/>
        </w:rPr>
        <w:t>22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_Toc15624 </w:instrText>
      </w:r>
      <w:r>
        <w:rPr>
          <w:rFonts w:hint="eastAsia" w:ascii="黑体" w:hAnsi="黑体" w:eastAsia="黑体" w:cs="黑体"/>
          <w:sz w:val="21"/>
          <w:szCs w:val="21"/>
        </w:rPr>
        <w:fldChar w:fldCharType="separate"/>
      </w:r>
      <w:r>
        <w:rPr>
          <w:rFonts w:hint="eastAsia" w:ascii="黑体" w:hAnsi="黑体" w:eastAsia="黑体" w:cs="黑体"/>
          <w:sz w:val="21"/>
          <w:szCs w:val="21"/>
        </w:rPr>
        <w:t>（一）学分管理</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_Toc15624 \h </w:instrText>
      </w:r>
      <w:r>
        <w:rPr>
          <w:rFonts w:hint="eastAsia" w:ascii="黑体" w:hAnsi="黑体" w:eastAsia="黑体" w:cs="黑体"/>
          <w:sz w:val="21"/>
          <w:szCs w:val="21"/>
        </w:rPr>
        <w:fldChar w:fldCharType="separate"/>
      </w:r>
      <w:r>
        <w:rPr>
          <w:rFonts w:hint="eastAsia" w:ascii="黑体" w:hAnsi="黑体" w:eastAsia="黑体" w:cs="黑体"/>
          <w:sz w:val="21"/>
          <w:szCs w:val="21"/>
        </w:rPr>
        <w:t>22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_Toc29471 </w:instrText>
      </w:r>
      <w:r>
        <w:rPr>
          <w:rFonts w:hint="eastAsia" w:ascii="黑体" w:hAnsi="黑体" w:eastAsia="黑体" w:cs="黑体"/>
          <w:sz w:val="21"/>
          <w:szCs w:val="21"/>
        </w:rPr>
        <w:fldChar w:fldCharType="separate"/>
      </w:r>
      <w:r>
        <w:rPr>
          <w:rFonts w:hint="eastAsia" w:ascii="黑体" w:hAnsi="黑体" w:eastAsia="黑体" w:cs="黑体"/>
          <w:sz w:val="21"/>
          <w:szCs w:val="21"/>
        </w:rPr>
        <w:t>（二）学分认定与转换</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_Toc29471 \h </w:instrText>
      </w:r>
      <w:r>
        <w:rPr>
          <w:rFonts w:hint="eastAsia" w:ascii="黑体" w:hAnsi="黑体" w:eastAsia="黑体" w:cs="黑体"/>
          <w:sz w:val="21"/>
          <w:szCs w:val="21"/>
        </w:rPr>
        <w:fldChar w:fldCharType="separate"/>
      </w:r>
      <w:r>
        <w:rPr>
          <w:rFonts w:hint="eastAsia" w:ascii="黑体" w:hAnsi="黑体" w:eastAsia="黑体" w:cs="黑体"/>
          <w:sz w:val="21"/>
          <w:szCs w:val="21"/>
        </w:rPr>
        <w:t>22</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_Toc27228 </w:instrText>
      </w:r>
      <w:r>
        <w:rPr>
          <w:rFonts w:hint="eastAsia" w:ascii="黑体" w:hAnsi="黑体" w:eastAsia="黑体" w:cs="黑体"/>
          <w:sz w:val="21"/>
          <w:szCs w:val="21"/>
        </w:rPr>
        <w:fldChar w:fldCharType="separate"/>
      </w:r>
      <w:r>
        <w:rPr>
          <w:rFonts w:hint="eastAsia" w:ascii="黑体" w:hAnsi="黑体" w:eastAsia="黑体" w:cs="黑体"/>
          <w:sz w:val="21"/>
          <w:szCs w:val="21"/>
        </w:rPr>
        <w:t>十、毕业要求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_Toc27228 \h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2"/>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_Toc21773 </w:instrText>
      </w:r>
      <w:r>
        <w:rPr>
          <w:rFonts w:hint="eastAsia" w:ascii="黑体" w:hAnsi="黑体" w:eastAsia="黑体" w:cs="黑体"/>
          <w:sz w:val="21"/>
          <w:szCs w:val="21"/>
        </w:rPr>
        <w:fldChar w:fldCharType="separate"/>
      </w:r>
      <w:r>
        <w:rPr>
          <w:rFonts w:hint="eastAsia" w:ascii="黑体" w:hAnsi="黑体" w:eastAsia="黑体" w:cs="黑体"/>
          <w:sz w:val="21"/>
          <w:szCs w:val="21"/>
        </w:rPr>
        <w:t>十一、附录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_Toc21773 \h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_Toc3311 </w:instrText>
      </w:r>
      <w:r>
        <w:rPr>
          <w:rFonts w:hint="eastAsia" w:ascii="黑体" w:hAnsi="黑体" w:eastAsia="黑体" w:cs="黑体"/>
          <w:sz w:val="21"/>
          <w:szCs w:val="21"/>
        </w:rPr>
        <w:fldChar w:fldCharType="separate"/>
      </w:r>
      <w:r>
        <w:rPr>
          <w:rFonts w:hint="eastAsia" w:ascii="黑体" w:hAnsi="黑体" w:eastAsia="黑体" w:cs="黑体"/>
          <w:sz w:val="21"/>
          <w:szCs w:val="21"/>
        </w:rPr>
        <w:t>（一）教育活动设计</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_Toc3311 \h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_Toc470 </w:instrText>
      </w:r>
      <w:r>
        <w:rPr>
          <w:rFonts w:hint="eastAsia" w:ascii="黑体" w:hAnsi="黑体" w:eastAsia="黑体" w:cs="黑体"/>
          <w:sz w:val="21"/>
          <w:szCs w:val="21"/>
        </w:rPr>
        <w:fldChar w:fldCharType="separate"/>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二）</w:t>
      </w:r>
      <w:r>
        <w:rPr>
          <w:rFonts w:hint="eastAsia" w:ascii="黑体" w:hAnsi="黑体" w:eastAsia="黑体" w:cs="黑体"/>
          <w:sz w:val="21"/>
          <w:szCs w:val="21"/>
        </w:rPr>
        <w:t>教学周历</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_Toc470 \h </w:instrText>
      </w:r>
      <w:r>
        <w:rPr>
          <w:rFonts w:hint="eastAsia" w:ascii="黑体" w:hAnsi="黑体" w:eastAsia="黑体" w:cs="黑体"/>
          <w:sz w:val="21"/>
          <w:szCs w:val="21"/>
        </w:rPr>
        <w:fldChar w:fldCharType="separate"/>
      </w:r>
      <w:r>
        <w:rPr>
          <w:rFonts w:hint="eastAsia" w:ascii="黑体" w:hAnsi="黑体" w:eastAsia="黑体" w:cs="黑体"/>
          <w:sz w:val="21"/>
          <w:szCs w:val="21"/>
        </w:rPr>
        <w:t>27</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_Toc43 </w:instrText>
      </w:r>
      <w:r>
        <w:rPr>
          <w:rFonts w:hint="eastAsia" w:ascii="黑体" w:hAnsi="黑体" w:eastAsia="黑体" w:cs="黑体"/>
          <w:sz w:val="21"/>
          <w:szCs w:val="21"/>
        </w:rPr>
        <w:fldChar w:fldCharType="separate"/>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三）</w:t>
      </w:r>
      <w:r>
        <w:rPr>
          <w:rFonts w:hint="eastAsia" w:ascii="黑体" w:hAnsi="黑体" w:eastAsia="黑体" w:cs="黑体"/>
          <w:sz w:val="21"/>
          <w:szCs w:val="21"/>
        </w:rPr>
        <w:t>课程结构比例分布表</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_Toc43 \h </w:instrText>
      </w:r>
      <w:r>
        <w:rPr>
          <w:rFonts w:hint="eastAsia" w:ascii="黑体" w:hAnsi="黑体" w:eastAsia="黑体" w:cs="黑体"/>
          <w:sz w:val="21"/>
          <w:szCs w:val="21"/>
        </w:rPr>
        <w:fldChar w:fldCharType="separate"/>
      </w:r>
      <w:r>
        <w:rPr>
          <w:rFonts w:hint="eastAsia" w:ascii="黑体" w:hAnsi="黑体" w:eastAsia="黑体" w:cs="黑体"/>
          <w:sz w:val="21"/>
          <w:szCs w:val="21"/>
        </w:rPr>
        <w:t>27</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_Toc5633 </w:instrText>
      </w:r>
      <w:r>
        <w:rPr>
          <w:rFonts w:hint="eastAsia" w:ascii="黑体" w:hAnsi="黑体" w:eastAsia="黑体" w:cs="黑体"/>
          <w:sz w:val="21"/>
          <w:szCs w:val="21"/>
        </w:rPr>
        <w:fldChar w:fldCharType="separate"/>
      </w:r>
      <w:r>
        <w:rPr>
          <w:rFonts w:hint="eastAsia" w:ascii="黑体" w:hAnsi="黑体" w:eastAsia="黑体" w:cs="黑体"/>
          <w:sz w:val="21"/>
          <w:szCs w:val="21"/>
          <w:lang w:eastAsia="zh-CN"/>
        </w:rPr>
        <w:t>（四</w:t>
      </w:r>
      <w:r>
        <w:rPr>
          <w:rFonts w:hint="eastAsia" w:ascii="黑体" w:hAnsi="黑体" w:eastAsia="黑体" w:cs="黑体"/>
          <w:sz w:val="21"/>
          <w:szCs w:val="21"/>
          <w:lang w:val="en-US" w:eastAsia="zh-CN"/>
        </w:rPr>
        <w:t>）</w:t>
      </w:r>
      <w:r>
        <w:rPr>
          <w:rFonts w:hint="eastAsia" w:ascii="黑体" w:hAnsi="黑体" w:eastAsia="黑体" w:cs="黑体"/>
          <w:sz w:val="21"/>
          <w:szCs w:val="21"/>
          <w:lang w:eastAsia="zh-CN"/>
        </w:rPr>
        <w:t>考核方式</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_Toc5633 \h </w:instrText>
      </w:r>
      <w:r>
        <w:rPr>
          <w:rFonts w:hint="eastAsia" w:ascii="黑体" w:hAnsi="黑体" w:eastAsia="黑体" w:cs="黑体"/>
          <w:sz w:val="21"/>
          <w:szCs w:val="21"/>
        </w:rPr>
        <w:fldChar w:fldCharType="separate"/>
      </w:r>
      <w:r>
        <w:rPr>
          <w:rFonts w:hint="eastAsia" w:ascii="黑体" w:hAnsi="黑体" w:eastAsia="黑体" w:cs="黑体"/>
          <w:sz w:val="21"/>
          <w:szCs w:val="21"/>
        </w:rPr>
        <w:t>27</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_Toc27185 </w:instrText>
      </w:r>
      <w:r>
        <w:rPr>
          <w:rFonts w:hint="eastAsia" w:ascii="黑体" w:hAnsi="黑体" w:eastAsia="黑体" w:cs="黑体"/>
          <w:sz w:val="21"/>
          <w:szCs w:val="21"/>
        </w:rPr>
        <w:fldChar w:fldCharType="separate"/>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五）</w:t>
      </w:r>
      <w:r>
        <w:rPr>
          <w:rFonts w:hint="eastAsia" w:ascii="黑体" w:hAnsi="黑体" w:eastAsia="黑体" w:cs="黑体"/>
          <w:sz w:val="21"/>
          <w:szCs w:val="21"/>
          <w:lang w:eastAsia="zh-CN"/>
        </w:rPr>
        <w:t>认识实习、</w:t>
      </w:r>
      <w:r>
        <w:rPr>
          <w:rFonts w:hint="eastAsia" w:ascii="黑体" w:hAnsi="黑体" w:eastAsia="黑体" w:cs="黑体"/>
          <w:sz w:val="21"/>
          <w:szCs w:val="21"/>
          <w:lang w:val="en-US" w:eastAsia="zh-CN"/>
        </w:rPr>
        <w:t>项目实训、</w:t>
      </w:r>
      <w:r>
        <w:rPr>
          <w:rFonts w:hint="eastAsia" w:ascii="黑体" w:hAnsi="黑体" w:eastAsia="黑体" w:cs="黑体"/>
          <w:sz w:val="21"/>
          <w:szCs w:val="21"/>
          <w:lang w:eastAsia="zh-CN"/>
        </w:rPr>
        <w:t>岗位实习</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_Toc27185 \h </w:instrText>
      </w:r>
      <w:r>
        <w:rPr>
          <w:rFonts w:hint="eastAsia" w:ascii="黑体" w:hAnsi="黑体" w:eastAsia="黑体" w:cs="黑体"/>
          <w:sz w:val="21"/>
          <w:szCs w:val="21"/>
        </w:rPr>
        <w:fldChar w:fldCharType="separate"/>
      </w:r>
      <w:r>
        <w:rPr>
          <w:rFonts w:hint="eastAsia" w:ascii="黑体" w:hAnsi="黑体" w:eastAsia="黑体" w:cs="黑体"/>
          <w:sz w:val="21"/>
          <w:szCs w:val="21"/>
        </w:rPr>
        <w:t>28</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pStyle w:val="14"/>
        <w:keepNext w:val="0"/>
        <w:keepLines w:val="0"/>
        <w:pageBreakBefore w:val="0"/>
        <w:widowControl w:val="0"/>
        <w:tabs>
          <w:tab w:val="right" w:leader="dot" w:pos="9072"/>
        </w:tabs>
        <w:kinsoku/>
        <w:wordWrap/>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u w:val="none"/>
        </w:rPr>
        <w:fldChar w:fldCharType="begin"/>
      </w:r>
      <w:r>
        <w:rPr>
          <w:rFonts w:hint="eastAsia" w:ascii="黑体" w:hAnsi="黑体" w:eastAsia="黑体" w:cs="黑体"/>
          <w:sz w:val="21"/>
          <w:szCs w:val="21"/>
        </w:rPr>
        <w:instrText xml:space="preserve"> HYPERLINK \l _Toc5111 </w:instrText>
      </w:r>
      <w:r>
        <w:rPr>
          <w:rFonts w:hint="eastAsia" w:ascii="黑体" w:hAnsi="黑体" w:eastAsia="黑体" w:cs="黑体"/>
          <w:sz w:val="21"/>
          <w:szCs w:val="21"/>
        </w:rPr>
        <w:fldChar w:fldCharType="separate"/>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六）</w:t>
      </w:r>
      <w:r>
        <w:rPr>
          <w:rFonts w:hint="eastAsia" w:ascii="黑体" w:hAnsi="黑体" w:eastAsia="黑体" w:cs="黑体"/>
          <w:sz w:val="21"/>
          <w:szCs w:val="21"/>
          <w:lang w:eastAsia="zh-CN"/>
        </w:rPr>
        <w:t>专业核心课程简介</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_Toc5111 \h </w:instrText>
      </w:r>
      <w:r>
        <w:rPr>
          <w:rFonts w:hint="eastAsia" w:ascii="黑体" w:hAnsi="黑体" w:eastAsia="黑体" w:cs="黑体"/>
          <w:sz w:val="21"/>
          <w:szCs w:val="21"/>
        </w:rPr>
        <w:fldChar w:fldCharType="separate"/>
      </w:r>
      <w:r>
        <w:rPr>
          <w:rFonts w:hint="eastAsia" w:ascii="黑体" w:hAnsi="黑体" w:eastAsia="黑体" w:cs="黑体"/>
          <w:sz w:val="21"/>
          <w:szCs w:val="21"/>
        </w:rPr>
        <w:t>28</w:t>
      </w:r>
      <w:r>
        <w:rPr>
          <w:rFonts w:hint="eastAsia" w:ascii="黑体" w:hAnsi="黑体" w:eastAsia="黑体" w:cs="黑体"/>
          <w:sz w:val="21"/>
          <w:szCs w:val="21"/>
        </w:rPr>
        <w:fldChar w:fldCharType="end"/>
      </w:r>
      <w:r>
        <w:rPr>
          <w:rFonts w:hint="eastAsia" w:ascii="黑体" w:hAnsi="黑体" w:eastAsia="黑体" w:cs="黑体"/>
          <w:sz w:val="21"/>
          <w:szCs w:val="21"/>
          <w:u w:val="none"/>
        </w:rPr>
        <w:fldChar w:fldCharType="end"/>
      </w:r>
    </w:p>
    <w:p>
      <w:pPr>
        <w:keepNext w:val="0"/>
        <w:keepLines w:val="0"/>
        <w:pageBreakBefore w:val="0"/>
        <w:widowControl w:val="0"/>
        <w:kinsoku/>
        <w:wordWrap/>
        <w:overflowPunct w:val="0"/>
        <w:topLinePunct w:val="0"/>
        <w:autoSpaceDE/>
        <w:autoSpaceDN/>
        <w:bidi w:val="0"/>
        <w:adjustRightInd/>
        <w:snapToGrid/>
        <w:spacing w:line="360" w:lineRule="exact"/>
        <w:ind w:leftChars="0" w:firstLine="420"/>
        <w:jc w:val="center"/>
        <w:textAlignment w:val="auto"/>
        <w:rPr>
          <w:u w:val="none"/>
        </w:rPr>
      </w:pPr>
      <w:r>
        <w:rPr>
          <w:rFonts w:hint="eastAsia" w:ascii="黑体" w:hAnsi="黑体" w:eastAsia="黑体" w:cs="黑体"/>
          <w:sz w:val="21"/>
          <w:szCs w:val="21"/>
          <w:u w:val="none"/>
        </w:rPr>
        <w:fldChar w:fldCharType="end"/>
      </w:r>
    </w:p>
    <w:p>
      <w:pPr>
        <w:overflowPunct w:val="0"/>
        <w:adjustRightInd w:val="0"/>
        <w:snapToGrid w:val="0"/>
        <w:spacing w:line="420" w:lineRule="exact"/>
        <w:ind w:firstLine="480"/>
        <w:jc w:val="center"/>
        <w:rPr>
          <w:u w:val="none"/>
        </w:rPr>
      </w:pPr>
    </w:p>
    <w:p>
      <w:pPr>
        <w:overflowPunct w:val="0"/>
        <w:adjustRightInd w:val="0"/>
        <w:snapToGrid w:val="0"/>
        <w:spacing w:line="420" w:lineRule="exact"/>
        <w:ind w:firstLine="480"/>
        <w:jc w:val="center"/>
        <w:rPr>
          <w:u w:val="none"/>
        </w:rPr>
      </w:pPr>
    </w:p>
    <w:p>
      <w:pPr>
        <w:tabs>
          <w:tab w:val="left" w:pos="5921"/>
        </w:tabs>
        <w:overflowPunct w:val="0"/>
        <w:adjustRightInd w:val="0"/>
        <w:snapToGrid w:val="0"/>
        <w:spacing w:line="420" w:lineRule="exact"/>
        <w:ind w:firstLine="0" w:firstLineChars="0"/>
        <w:jc w:val="left"/>
        <w:rPr>
          <w:u w:val="none"/>
        </w:rPr>
      </w:pPr>
    </w:p>
    <w:p>
      <w:pPr>
        <w:overflowPunct w:val="0"/>
        <w:adjustRightInd w:val="0"/>
        <w:snapToGrid w:val="0"/>
        <w:spacing w:line="420" w:lineRule="exact"/>
        <w:ind w:firstLine="480"/>
        <w:jc w:val="center"/>
        <w:rPr>
          <w:rFonts w:hint="eastAsia" w:ascii="黑体" w:hAnsi="黑体" w:eastAsia="黑体" w:cs="黑体"/>
          <w:b/>
          <w:bCs/>
          <w:sz w:val="40"/>
          <w:szCs w:val="40"/>
          <w:u w:val="none"/>
        </w:rPr>
        <w:sectPr>
          <w:footerReference r:id="rId11" w:type="default"/>
          <w:footerReference r:id="rId12" w:type="even"/>
          <w:pgSz w:w="11906" w:h="16838"/>
          <w:pgMar w:top="1417" w:right="1417" w:bottom="1417" w:left="1417" w:header="851" w:footer="992" w:gutter="0"/>
          <w:pgNumType w:start="0"/>
          <w:cols w:space="720" w:num="1"/>
          <w:docGrid w:type="lines" w:linePitch="312" w:charSpace="0"/>
        </w:sectPr>
      </w:pPr>
    </w:p>
    <w:p>
      <w:pPr>
        <w:overflowPunct w:val="0"/>
        <w:adjustRightInd w:val="0"/>
        <w:snapToGrid w:val="0"/>
        <w:spacing w:line="420" w:lineRule="exact"/>
        <w:ind w:firstLine="480"/>
        <w:jc w:val="center"/>
        <w:rPr>
          <w:rFonts w:hint="eastAsia" w:ascii="黑体" w:hAnsi="黑体" w:eastAsia="黑体" w:cs="黑体"/>
          <w:b/>
          <w:bCs/>
          <w:sz w:val="40"/>
          <w:szCs w:val="40"/>
          <w:u w:val="none"/>
        </w:rPr>
      </w:pPr>
      <w:r>
        <w:rPr>
          <w:rFonts w:hint="eastAsia" w:ascii="黑体" w:hAnsi="黑体" w:eastAsia="黑体" w:cs="黑体"/>
          <w:b/>
          <w:bCs/>
          <w:sz w:val="40"/>
          <w:szCs w:val="40"/>
          <w:u w:val="none"/>
        </w:rPr>
        <w:t>现代物业管理专业人才培养方案</w:t>
      </w:r>
    </w:p>
    <w:p>
      <w:pPr>
        <w:adjustRightInd w:val="0"/>
        <w:snapToGrid w:val="0"/>
        <w:ind w:firstLine="480"/>
        <w:rPr>
          <w:rFonts w:hint="eastAsia" w:ascii="宋体" w:hAnsi="宋体" w:cs="宋体"/>
          <w:szCs w:val="24"/>
          <w:u w:val="none"/>
        </w:rPr>
      </w:pPr>
    </w:p>
    <w:p>
      <w:pPr>
        <w:ind w:firstLine="480"/>
        <w:rPr>
          <w:rFonts w:hint="eastAsia" w:ascii="宋体" w:hAnsi="宋体" w:cs="宋体"/>
          <w:szCs w:val="24"/>
          <w:u w:val="none"/>
        </w:rPr>
      </w:pPr>
      <w:r>
        <w:rPr>
          <w:rFonts w:hint="eastAsia" w:ascii="宋体" w:hAnsi="宋体" w:cs="宋体"/>
          <w:szCs w:val="24"/>
          <w:u w:val="none"/>
        </w:rPr>
        <w:t>现代物业管理专业人才培养方案是现代物业管理专业的基本教学文件，适用于学院高等职业教育（专科）现代物业管理专业。它是现代物业管理专业组织开展专业教学活动、实施专业人才培养、进行专业建设和开展质量评价的基本依据。</w:t>
      </w:r>
    </w:p>
    <w:p>
      <w:pPr>
        <w:spacing w:line="360" w:lineRule="auto"/>
        <w:ind w:firstLine="480" w:firstLineChars="200"/>
        <w:rPr>
          <w:rFonts w:hint="eastAsia" w:ascii="宋体" w:hAnsi="宋体" w:cs="宋体"/>
          <w:szCs w:val="24"/>
          <w:u w:val="none"/>
        </w:rPr>
      </w:pPr>
      <w:r>
        <w:rPr>
          <w:rFonts w:hint="eastAsia" w:ascii="宋体" w:hAnsi="宋体" w:cs="宋体"/>
          <w:szCs w:val="24"/>
          <w:u w:val="none"/>
        </w:rPr>
        <w:t>本方案的制定依据教育部《高等职业学校专业教学标准（试行）：土木建筑大类》，由现代物业管理专业教学团队调研起草、专业建设委员会论证﹑</w:t>
      </w:r>
      <w:r>
        <w:rPr>
          <w:rFonts w:hint="eastAsia" w:ascii="宋体" w:hAnsi="宋体" w:cs="宋体"/>
          <w:sz w:val="24"/>
          <w:szCs w:val="24"/>
          <w:u w:val="none"/>
        </w:rPr>
        <w:t>系党政联席会审核、学院教学工作委员会（学术委员会）评议、学院院长办公会</w:t>
      </w:r>
      <w:r>
        <w:rPr>
          <w:rFonts w:hint="eastAsia" w:ascii="宋体" w:hAnsi="宋体" w:cs="宋体"/>
          <w:sz w:val="24"/>
          <w:szCs w:val="24"/>
          <w:highlight w:val="none"/>
          <w:u w:val="none"/>
          <w:lang w:val="en-US" w:eastAsia="zh-CN"/>
        </w:rPr>
        <w:t>审议</w:t>
      </w:r>
      <w:r>
        <w:rPr>
          <w:rFonts w:hint="eastAsia" w:ascii="宋体" w:hAnsi="宋体" w:cs="宋体"/>
          <w:sz w:val="24"/>
          <w:szCs w:val="24"/>
          <w:u w:val="none"/>
        </w:rPr>
        <w:t>和党委会审定后发布实施。</w:t>
      </w:r>
    </w:p>
    <w:p>
      <w:pPr>
        <w:pStyle w:val="3"/>
        <w:ind w:firstLine="562"/>
        <w:rPr>
          <w:rFonts w:hint="eastAsia" w:ascii="宋体" w:hAnsi="宋体" w:eastAsia="宋体" w:cs="宋体"/>
          <w:u w:val="none"/>
        </w:rPr>
      </w:pPr>
      <w:bookmarkStart w:id="0" w:name="_Toc16902"/>
      <w:r>
        <w:rPr>
          <w:rFonts w:hint="eastAsia" w:ascii="宋体" w:hAnsi="宋体" w:eastAsia="宋体" w:cs="宋体"/>
          <w:u w:val="none"/>
        </w:rPr>
        <w:t>一、专业名称及代码</w:t>
      </w:r>
      <w:bookmarkEnd w:id="0"/>
    </w:p>
    <w:p>
      <w:pPr>
        <w:pStyle w:val="6"/>
        <w:spacing w:before="0" w:beforeAutospacing="0" w:after="0" w:afterAutospacing="0"/>
        <w:rPr>
          <w:rFonts w:hint="eastAsia" w:ascii="宋体" w:hAnsi="宋体" w:eastAsia="宋体" w:cs="宋体"/>
          <w:szCs w:val="24"/>
          <w:u w:val="none"/>
        </w:rPr>
      </w:pPr>
      <w:r>
        <w:rPr>
          <w:rFonts w:hint="eastAsia" w:ascii="宋体" w:hAnsi="宋体" w:eastAsia="宋体" w:cs="宋体"/>
          <w:szCs w:val="24"/>
          <w:u w:val="none"/>
        </w:rPr>
        <w:t>专业名称：现代物业管理</w:t>
      </w:r>
    </w:p>
    <w:p>
      <w:pPr>
        <w:pStyle w:val="6"/>
        <w:spacing w:before="0" w:beforeAutospacing="0" w:after="0" w:afterAutospacing="0"/>
        <w:rPr>
          <w:rFonts w:hint="eastAsia" w:ascii="宋体" w:hAnsi="宋体" w:eastAsia="宋体" w:cs="宋体"/>
          <w:szCs w:val="24"/>
          <w:u w:val="none"/>
        </w:rPr>
      </w:pPr>
      <w:r>
        <w:rPr>
          <w:rFonts w:hint="eastAsia" w:ascii="宋体" w:hAnsi="宋体" w:eastAsia="宋体" w:cs="宋体"/>
          <w:szCs w:val="24"/>
          <w:u w:val="none"/>
        </w:rPr>
        <w:t>专业代码：440703</w:t>
      </w:r>
    </w:p>
    <w:p>
      <w:pPr>
        <w:pStyle w:val="3"/>
        <w:ind w:firstLine="562"/>
        <w:rPr>
          <w:rFonts w:hint="eastAsia" w:ascii="宋体" w:hAnsi="宋体" w:eastAsia="宋体" w:cs="宋体"/>
          <w:u w:val="none"/>
        </w:rPr>
      </w:pPr>
      <w:bookmarkStart w:id="1" w:name="_Toc23526"/>
      <w:r>
        <w:rPr>
          <w:rFonts w:hint="eastAsia" w:ascii="宋体" w:hAnsi="宋体" w:eastAsia="宋体" w:cs="宋体"/>
          <w:u w:val="none"/>
        </w:rPr>
        <w:t>二、入学要求（招生对象）</w:t>
      </w:r>
      <w:bookmarkEnd w:id="1"/>
    </w:p>
    <w:p>
      <w:pPr>
        <w:pStyle w:val="6"/>
        <w:spacing w:before="0" w:beforeAutospacing="0" w:after="0" w:afterAutospacing="0"/>
        <w:rPr>
          <w:rFonts w:hint="eastAsia" w:ascii="宋体" w:hAnsi="宋体" w:eastAsia="宋体" w:cs="宋体"/>
          <w:szCs w:val="24"/>
          <w:u w:val="none"/>
        </w:rPr>
      </w:pPr>
      <w:r>
        <w:rPr>
          <w:rFonts w:hint="eastAsia" w:ascii="宋体" w:hAnsi="宋体" w:eastAsia="宋体" w:cs="宋体"/>
          <w:szCs w:val="24"/>
          <w:u w:val="none"/>
        </w:rPr>
        <w:t>普通高等学校全国统一考试招生对象：高级中等教育学校毕业或具有同等学力人员。</w:t>
      </w:r>
    </w:p>
    <w:p>
      <w:pPr>
        <w:pStyle w:val="3"/>
        <w:ind w:firstLine="562"/>
        <w:rPr>
          <w:rFonts w:hint="eastAsia" w:ascii="宋体" w:hAnsi="宋体" w:eastAsia="宋体" w:cs="宋体"/>
          <w:u w:val="none"/>
        </w:rPr>
      </w:pPr>
      <w:bookmarkStart w:id="2" w:name="_Toc26729"/>
      <w:r>
        <w:rPr>
          <w:rFonts w:hint="eastAsia" w:ascii="宋体" w:hAnsi="宋体" w:eastAsia="宋体" w:cs="宋体"/>
          <w:u w:val="none"/>
        </w:rPr>
        <w:t>三、修业年限</w:t>
      </w:r>
      <w:bookmarkEnd w:id="2"/>
    </w:p>
    <w:p>
      <w:pPr>
        <w:ind w:firstLine="480"/>
        <w:rPr>
          <w:rFonts w:hint="eastAsia" w:ascii="宋体" w:hAnsi="宋体" w:eastAsia="宋体" w:cs="宋体"/>
          <w:u w:val="none"/>
          <w:lang w:eastAsia="zh-CN"/>
        </w:rPr>
      </w:pPr>
      <w:r>
        <w:rPr>
          <w:rFonts w:hint="eastAsia" w:ascii="宋体" w:hAnsi="宋体" w:cs="宋体"/>
          <w:u w:val="none"/>
        </w:rPr>
        <w:t>学制：3年</w:t>
      </w:r>
      <w:r>
        <w:rPr>
          <w:rFonts w:hint="eastAsia" w:ascii="宋体" w:hAnsi="宋体" w:cs="宋体"/>
          <w:u w:val="none"/>
          <w:lang w:eastAsia="zh-CN"/>
        </w:rPr>
        <w:t>。</w:t>
      </w:r>
    </w:p>
    <w:p>
      <w:pPr>
        <w:pStyle w:val="3"/>
        <w:ind w:firstLine="562"/>
        <w:rPr>
          <w:rFonts w:hint="eastAsia" w:ascii="宋体" w:hAnsi="宋体" w:eastAsia="宋体" w:cs="宋体"/>
          <w:u w:val="none"/>
        </w:rPr>
      </w:pPr>
      <w:bookmarkStart w:id="3" w:name="_Toc4779"/>
      <w:r>
        <w:rPr>
          <w:rFonts w:hint="eastAsia" w:ascii="宋体" w:hAnsi="宋体" w:eastAsia="宋体" w:cs="宋体"/>
          <w:u w:val="none"/>
        </w:rPr>
        <w:t>四、职业面向</w:t>
      </w:r>
      <w:bookmarkEnd w:id="3"/>
    </w:p>
    <w:p>
      <w:pPr>
        <w:pStyle w:val="6"/>
        <w:spacing w:before="0" w:beforeAutospacing="0" w:after="0" w:afterAutospacing="0"/>
        <w:rPr>
          <w:szCs w:val="28"/>
          <w:u w:val="none"/>
        </w:rPr>
      </w:pPr>
      <w:r>
        <w:rPr>
          <w:rFonts w:hint="eastAsia" w:ascii="宋体" w:hAnsi="宋体" w:eastAsia="宋体"/>
          <w:szCs w:val="24"/>
          <w:u w:val="none"/>
        </w:rPr>
        <w:t>根据安徽审计职业学院现代物业管理专业毕业生的职业范围与人才培养规格，本专业学生毕业后，主要从事的就业岗位如下：</w:t>
      </w: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pStyle w:val="2"/>
        <w:rPr>
          <w:rFonts w:hint="eastAsia"/>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ascii="黑体" w:hAnsi="黑体" w:eastAsia="黑体" w:cs="黑体"/>
          <w:b/>
          <w:sz w:val="21"/>
          <w:szCs w:val="21"/>
          <w:u w:val="none"/>
        </w:rPr>
      </w:pPr>
    </w:p>
    <w:p>
      <w:pPr>
        <w:adjustRightInd w:val="0"/>
        <w:snapToGrid w:val="0"/>
        <w:ind w:firstLine="422"/>
        <w:jc w:val="center"/>
        <w:rPr>
          <w:rFonts w:hint="eastAsia"/>
          <w:b/>
          <w:szCs w:val="24"/>
          <w:u w:val="none"/>
        </w:rPr>
      </w:pPr>
      <w:r>
        <w:rPr>
          <w:rFonts w:hint="eastAsia" w:ascii="黑体" w:hAnsi="黑体" w:eastAsia="黑体" w:cs="黑体"/>
          <w:b/>
          <w:sz w:val="21"/>
          <w:szCs w:val="21"/>
          <w:u w:val="none"/>
        </w:rPr>
        <w:t>表4-1  现代物业管理专业职业面向</w:t>
      </w:r>
    </w:p>
    <w:tbl>
      <w:tblPr>
        <w:tblStyle w:val="16"/>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080"/>
        <w:gridCol w:w="1215"/>
        <w:gridCol w:w="1453"/>
        <w:gridCol w:w="192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noWrap w:val="0"/>
            <w:vAlign w:val="center"/>
          </w:tcPr>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所属专业大类</w:t>
            </w: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Cs/>
                <w:kern w:val="0"/>
                <w:sz w:val="21"/>
                <w:szCs w:val="21"/>
                <w:u w:val="none"/>
              </w:rPr>
              <w:t>（代码）</w:t>
            </w:r>
          </w:p>
        </w:tc>
        <w:tc>
          <w:tcPr>
            <w:tcW w:w="1080" w:type="dxa"/>
            <w:noWrap w:val="0"/>
            <w:vAlign w:val="center"/>
          </w:tcPr>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所属专</w:t>
            </w: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业类</w:t>
            </w: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Cs/>
                <w:kern w:val="0"/>
                <w:sz w:val="21"/>
                <w:szCs w:val="21"/>
                <w:u w:val="none"/>
              </w:rPr>
              <w:t>（代码）</w:t>
            </w:r>
          </w:p>
        </w:tc>
        <w:tc>
          <w:tcPr>
            <w:tcW w:w="1215" w:type="dxa"/>
            <w:noWrap w:val="0"/>
            <w:vAlign w:val="center"/>
          </w:tcPr>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对应行业</w:t>
            </w: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Cs/>
                <w:kern w:val="0"/>
                <w:sz w:val="21"/>
                <w:szCs w:val="21"/>
                <w:u w:val="none"/>
              </w:rPr>
              <w:t>（代码）</w:t>
            </w:r>
          </w:p>
        </w:tc>
        <w:tc>
          <w:tcPr>
            <w:tcW w:w="1453" w:type="dxa"/>
            <w:noWrap w:val="0"/>
            <w:vAlign w:val="center"/>
          </w:tcPr>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主要职业</w:t>
            </w:r>
          </w:p>
          <w:p>
            <w:pPr>
              <w:adjustRightInd w:val="0"/>
              <w:snapToGrid w:val="0"/>
              <w:spacing w:line="240" w:lineRule="auto"/>
              <w:ind w:firstLine="211" w:firstLineChars="100"/>
              <w:rPr>
                <w:rFonts w:hint="eastAsia" w:ascii="仿宋" w:hAnsi="仿宋" w:eastAsia="仿宋" w:cs="仿宋"/>
                <w:b/>
                <w:sz w:val="21"/>
                <w:szCs w:val="21"/>
                <w:u w:val="none"/>
              </w:rPr>
            </w:pPr>
            <w:r>
              <w:rPr>
                <w:rFonts w:hint="eastAsia" w:ascii="仿宋" w:hAnsi="仿宋" w:eastAsia="仿宋" w:cs="仿宋"/>
                <w:b/>
                <w:sz w:val="21"/>
                <w:szCs w:val="21"/>
                <w:u w:val="none"/>
              </w:rPr>
              <w:t>类别</w:t>
            </w: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Cs/>
                <w:kern w:val="0"/>
                <w:sz w:val="21"/>
                <w:szCs w:val="21"/>
                <w:u w:val="none"/>
              </w:rPr>
              <w:t>（代码）</w:t>
            </w:r>
          </w:p>
        </w:tc>
        <w:tc>
          <w:tcPr>
            <w:tcW w:w="1922" w:type="dxa"/>
            <w:noWrap w:val="0"/>
            <w:vAlign w:val="center"/>
          </w:tcPr>
          <w:p>
            <w:pPr>
              <w:adjustRightInd w:val="0"/>
              <w:snapToGrid w:val="0"/>
              <w:spacing w:line="240" w:lineRule="auto"/>
              <w:ind w:firstLine="422"/>
              <w:jc w:val="center"/>
              <w:rPr>
                <w:rFonts w:hint="eastAsia" w:ascii="仿宋" w:hAnsi="仿宋" w:eastAsia="仿宋" w:cs="仿宋"/>
                <w:b/>
                <w:sz w:val="21"/>
                <w:szCs w:val="21"/>
                <w:u w:val="none"/>
              </w:rPr>
            </w:pPr>
          </w:p>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主要岗位群类别(或技术领域)举例</w:t>
            </w:r>
          </w:p>
          <w:p>
            <w:pPr>
              <w:adjustRightInd w:val="0"/>
              <w:snapToGrid w:val="0"/>
              <w:spacing w:line="240" w:lineRule="auto"/>
              <w:ind w:firstLine="422"/>
              <w:jc w:val="center"/>
              <w:rPr>
                <w:rFonts w:hint="eastAsia" w:ascii="仿宋" w:hAnsi="仿宋" w:eastAsia="仿宋" w:cs="仿宋"/>
                <w:b/>
                <w:sz w:val="21"/>
                <w:szCs w:val="21"/>
                <w:u w:val="none"/>
              </w:rPr>
            </w:pPr>
          </w:p>
        </w:tc>
        <w:tc>
          <w:tcPr>
            <w:tcW w:w="1991" w:type="dxa"/>
            <w:noWrap w:val="0"/>
            <w:vAlign w:val="center"/>
          </w:tcPr>
          <w:p>
            <w:pPr>
              <w:adjustRightInd w:val="0"/>
              <w:snapToGrid w:val="0"/>
              <w:spacing w:line="240" w:lineRule="auto"/>
              <w:ind w:firstLine="0" w:firstLineChars="0"/>
              <w:rPr>
                <w:rFonts w:hint="eastAsia" w:ascii="仿宋" w:hAnsi="仿宋" w:eastAsia="仿宋" w:cs="仿宋"/>
                <w:b/>
                <w:sz w:val="21"/>
                <w:szCs w:val="21"/>
                <w:u w:val="none"/>
              </w:rPr>
            </w:pPr>
            <w:r>
              <w:rPr>
                <w:rFonts w:hint="eastAsia" w:ascii="仿宋" w:hAnsi="仿宋" w:eastAsia="仿宋" w:cs="仿宋"/>
                <w:b/>
                <w:sz w:val="21"/>
                <w:szCs w:val="21"/>
                <w:u w:val="none"/>
              </w:rPr>
              <w:t>职业技能等级证书、社会认可度高的行业企业标准和证书﹑1+X证书举例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restart"/>
            <w:noWrap w:val="0"/>
            <w:vAlign w:val="center"/>
          </w:tcPr>
          <w:p>
            <w:pPr>
              <w:adjustRightInd w:val="0"/>
              <w:snapToGrid w:val="0"/>
              <w:ind w:firstLine="0" w:firstLineChars="0"/>
              <w:jc w:val="left"/>
              <w:rPr>
                <w:rFonts w:hint="eastAsia" w:ascii="仿宋" w:hAnsi="仿宋" w:eastAsia="仿宋" w:cs="仿宋"/>
                <w:sz w:val="21"/>
                <w:szCs w:val="21"/>
                <w:u w:val="none"/>
              </w:rPr>
            </w:pPr>
            <w:r>
              <w:rPr>
                <w:rFonts w:hint="eastAsia" w:ascii="仿宋" w:hAnsi="仿宋" w:eastAsia="仿宋" w:cs="仿宋"/>
                <w:sz w:val="21"/>
                <w:szCs w:val="21"/>
                <w:u w:val="none"/>
              </w:rPr>
              <w:t>土木建筑大类</w:t>
            </w:r>
          </w:p>
          <w:p>
            <w:pPr>
              <w:adjustRightInd w:val="0"/>
              <w:snapToGrid w:val="0"/>
              <w:ind w:firstLine="0" w:firstLineChars="0"/>
              <w:jc w:val="left"/>
              <w:rPr>
                <w:rFonts w:hint="eastAsia" w:ascii="仿宋" w:hAnsi="仿宋" w:eastAsia="仿宋" w:cs="仿宋"/>
                <w:b/>
                <w:sz w:val="21"/>
                <w:szCs w:val="21"/>
                <w:u w:val="none"/>
              </w:rPr>
            </w:pPr>
            <w:r>
              <w:rPr>
                <w:rFonts w:hint="eastAsia" w:ascii="仿宋" w:hAnsi="仿宋" w:eastAsia="仿宋" w:cs="仿宋"/>
                <w:sz w:val="21"/>
                <w:szCs w:val="21"/>
                <w:u w:val="none"/>
              </w:rPr>
              <w:t>（44）</w:t>
            </w:r>
          </w:p>
        </w:tc>
        <w:tc>
          <w:tcPr>
            <w:tcW w:w="1080" w:type="dxa"/>
            <w:vMerge w:val="restart"/>
            <w:noWrap w:val="0"/>
            <w:vAlign w:val="center"/>
          </w:tcPr>
          <w:p>
            <w:pPr>
              <w:adjustRightInd w:val="0"/>
              <w:snapToGrid w:val="0"/>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房地</w:t>
            </w:r>
          </w:p>
          <w:p>
            <w:pPr>
              <w:adjustRightInd w:val="0"/>
              <w:snapToGrid w:val="0"/>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产类</w:t>
            </w:r>
          </w:p>
          <w:p>
            <w:pPr>
              <w:adjustRightInd w:val="0"/>
              <w:snapToGrid w:val="0"/>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（4407）</w:t>
            </w:r>
          </w:p>
        </w:tc>
        <w:tc>
          <w:tcPr>
            <w:tcW w:w="1215" w:type="dxa"/>
            <w:vMerge w:val="restart"/>
            <w:noWrap w:val="0"/>
            <w:vAlign w:val="center"/>
          </w:tcPr>
          <w:p>
            <w:pPr>
              <w:adjustRightInd w:val="0"/>
              <w:snapToGrid w:val="0"/>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物业管理</w:t>
            </w:r>
          </w:p>
          <w:p>
            <w:pPr>
              <w:adjustRightInd w:val="0"/>
              <w:snapToGrid w:val="0"/>
              <w:ind w:firstLine="0" w:firstLineChars="0"/>
              <w:jc w:val="center"/>
              <w:rPr>
                <w:rFonts w:hint="eastAsia" w:ascii="仿宋" w:hAnsi="仿宋" w:eastAsia="仿宋" w:cs="仿宋"/>
                <w:b/>
                <w:sz w:val="21"/>
                <w:szCs w:val="21"/>
                <w:u w:val="none"/>
              </w:rPr>
            </w:pPr>
            <w:r>
              <w:rPr>
                <w:rFonts w:hint="eastAsia" w:ascii="仿宋" w:hAnsi="仿宋" w:eastAsia="仿宋" w:cs="仿宋"/>
                <w:bCs/>
                <w:sz w:val="21"/>
                <w:szCs w:val="21"/>
                <w:u w:val="none"/>
              </w:rPr>
              <w:t>（K70702）</w:t>
            </w:r>
          </w:p>
        </w:tc>
        <w:tc>
          <w:tcPr>
            <w:tcW w:w="1453" w:type="dxa"/>
            <w:vMerge w:val="restart"/>
            <w:noWrap w:val="0"/>
            <w:vAlign w:val="center"/>
          </w:tcPr>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物业管理服务人员</w:t>
            </w:r>
          </w:p>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（4-06-01）</w:t>
            </w:r>
          </w:p>
        </w:tc>
        <w:tc>
          <w:tcPr>
            <w:tcW w:w="1922" w:type="dxa"/>
            <w:noWrap w:val="0"/>
            <w:vAlign w:val="center"/>
          </w:tcPr>
          <w:p>
            <w:pPr>
              <w:adjustRightInd w:val="0"/>
              <w:snapToGrid w:val="0"/>
              <w:ind w:firstLine="0" w:firstLineChars="0"/>
              <w:rPr>
                <w:rFonts w:hint="eastAsia" w:ascii="仿宋" w:hAnsi="仿宋" w:eastAsia="仿宋" w:cs="仿宋"/>
                <w:bCs/>
                <w:sz w:val="21"/>
                <w:szCs w:val="21"/>
                <w:u w:val="none"/>
              </w:rPr>
            </w:pPr>
            <w:r>
              <w:rPr>
                <w:rFonts w:hint="eastAsia" w:ascii="仿宋" w:hAnsi="仿宋" w:eastAsia="仿宋" w:cs="仿宋"/>
                <w:bCs/>
                <w:sz w:val="21"/>
                <w:szCs w:val="21"/>
                <w:u w:val="none"/>
              </w:rPr>
              <w:t>物业管理员</w:t>
            </w:r>
          </w:p>
        </w:tc>
        <w:tc>
          <w:tcPr>
            <w:tcW w:w="1991" w:type="dxa"/>
            <w:vMerge w:val="restart"/>
            <w:noWrap w:val="0"/>
            <w:vAlign w:val="center"/>
          </w:tcPr>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物业管理员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080"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215"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453"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922" w:type="dxa"/>
            <w:noWrap w:val="0"/>
            <w:vAlign w:val="center"/>
          </w:tcPr>
          <w:p>
            <w:pPr>
              <w:adjustRightInd w:val="0"/>
              <w:snapToGrid w:val="0"/>
              <w:ind w:firstLine="0" w:firstLineChars="0"/>
              <w:rPr>
                <w:rFonts w:hint="eastAsia" w:ascii="仿宋" w:hAnsi="仿宋" w:eastAsia="仿宋" w:cs="仿宋"/>
                <w:bCs/>
                <w:sz w:val="21"/>
                <w:szCs w:val="21"/>
                <w:u w:val="none"/>
              </w:rPr>
            </w:pPr>
            <w:r>
              <w:rPr>
                <w:rFonts w:hint="eastAsia" w:ascii="仿宋" w:hAnsi="仿宋" w:eastAsia="仿宋" w:cs="仿宋"/>
                <w:bCs/>
                <w:sz w:val="21"/>
                <w:szCs w:val="21"/>
                <w:u w:val="none"/>
              </w:rPr>
              <w:t>设备维护员</w:t>
            </w:r>
          </w:p>
        </w:tc>
        <w:tc>
          <w:tcPr>
            <w:tcW w:w="1991" w:type="dxa"/>
            <w:vMerge w:val="continue"/>
            <w:noWrap w:val="0"/>
            <w:vAlign w:val="center"/>
          </w:tcPr>
          <w:p>
            <w:pPr>
              <w:adjustRightInd w:val="0"/>
              <w:snapToGrid w:val="0"/>
              <w:ind w:firstLine="420"/>
              <w:jc w:val="left"/>
              <w:rPr>
                <w:rFonts w:hint="eastAsia" w:ascii="仿宋" w:hAnsi="仿宋" w:eastAsia="仿宋" w:cs="仿宋"/>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080"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215"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453"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922" w:type="dxa"/>
            <w:noWrap w:val="0"/>
            <w:vAlign w:val="center"/>
          </w:tcPr>
          <w:p>
            <w:pPr>
              <w:adjustRightInd w:val="0"/>
              <w:snapToGrid w:val="0"/>
              <w:ind w:firstLine="0" w:firstLineChars="0"/>
              <w:rPr>
                <w:rFonts w:hint="eastAsia" w:ascii="仿宋" w:hAnsi="仿宋" w:eastAsia="仿宋" w:cs="仿宋"/>
                <w:bCs/>
                <w:sz w:val="21"/>
                <w:szCs w:val="21"/>
                <w:u w:val="none"/>
              </w:rPr>
            </w:pPr>
            <w:r>
              <w:rPr>
                <w:rFonts w:hint="eastAsia" w:ascii="仿宋" w:hAnsi="仿宋" w:eastAsia="仿宋" w:cs="仿宋"/>
                <w:bCs/>
                <w:sz w:val="21"/>
                <w:szCs w:val="21"/>
                <w:u w:val="none"/>
              </w:rPr>
              <w:t>环境管理员</w:t>
            </w:r>
          </w:p>
        </w:tc>
        <w:tc>
          <w:tcPr>
            <w:tcW w:w="1991" w:type="dxa"/>
            <w:vMerge w:val="continue"/>
            <w:noWrap w:val="0"/>
            <w:vAlign w:val="center"/>
          </w:tcPr>
          <w:p>
            <w:pPr>
              <w:adjustRightInd w:val="0"/>
              <w:snapToGrid w:val="0"/>
              <w:ind w:firstLine="420"/>
              <w:jc w:val="left"/>
              <w:rPr>
                <w:rFonts w:hint="eastAsia" w:ascii="仿宋" w:hAnsi="仿宋" w:eastAsia="仿宋" w:cs="仿宋"/>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0" w:firstLineChars="0"/>
              <w:rPr>
                <w:rFonts w:hint="eastAsia" w:ascii="仿宋" w:hAnsi="仿宋" w:eastAsia="仿宋" w:cs="仿宋"/>
                <w:sz w:val="21"/>
                <w:szCs w:val="21"/>
                <w:u w:val="none"/>
              </w:rPr>
            </w:pPr>
          </w:p>
        </w:tc>
        <w:tc>
          <w:tcPr>
            <w:tcW w:w="1080" w:type="dxa"/>
            <w:vMerge w:val="continue"/>
            <w:noWrap w:val="0"/>
            <w:vAlign w:val="center"/>
          </w:tcPr>
          <w:p>
            <w:pPr>
              <w:adjustRightInd w:val="0"/>
              <w:snapToGrid w:val="0"/>
              <w:ind w:firstLine="0" w:firstLineChars="0"/>
              <w:rPr>
                <w:rFonts w:hint="eastAsia" w:ascii="仿宋" w:hAnsi="仿宋" w:eastAsia="仿宋" w:cs="仿宋"/>
                <w:sz w:val="21"/>
                <w:szCs w:val="21"/>
                <w:u w:val="none"/>
              </w:rPr>
            </w:pPr>
          </w:p>
        </w:tc>
        <w:tc>
          <w:tcPr>
            <w:tcW w:w="1215" w:type="dxa"/>
            <w:vMerge w:val="continue"/>
            <w:noWrap w:val="0"/>
            <w:vAlign w:val="center"/>
          </w:tcPr>
          <w:p>
            <w:pPr>
              <w:adjustRightInd w:val="0"/>
              <w:snapToGrid w:val="0"/>
              <w:ind w:firstLine="0" w:firstLineChars="0"/>
              <w:rPr>
                <w:rFonts w:hint="eastAsia" w:ascii="仿宋" w:hAnsi="仿宋" w:eastAsia="仿宋" w:cs="仿宋"/>
                <w:sz w:val="21"/>
                <w:szCs w:val="21"/>
                <w:u w:val="none"/>
              </w:rPr>
            </w:pPr>
          </w:p>
        </w:tc>
        <w:tc>
          <w:tcPr>
            <w:tcW w:w="1453" w:type="dxa"/>
            <w:vMerge w:val="continue"/>
            <w:noWrap w:val="0"/>
            <w:vAlign w:val="center"/>
          </w:tcPr>
          <w:p>
            <w:pPr>
              <w:adjustRightInd w:val="0"/>
              <w:snapToGrid w:val="0"/>
              <w:ind w:firstLine="0" w:firstLineChars="0"/>
              <w:rPr>
                <w:rFonts w:hint="eastAsia" w:ascii="仿宋" w:hAnsi="仿宋" w:eastAsia="仿宋" w:cs="仿宋"/>
                <w:sz w:val="21"/>
                <w:szCs w:val="21"/>
                <w:u w:val="none"/>
              </w:rPr>
            </w:pPr>
          </w:p>
        </w:tc>
        <w:tc>
          <w:tcPr>
            <w:tcW w:w="1922" w:type="dxa"/>
            <w:noWrap w:val="0"/>
            <w:vAlign w:val="center"/>
          </w:tcPr>
          <w:p>
            <w:pPr>
              <w:adjustRightInd w:val="0"/>
              <w:snapToGrid w:val="0"/>
              <w:ind w:firstLine="0" w:firstLineChars="0"/>
              <w:rPr>
                <w:rFonts w:hint="eastAsia" w:ascii="仿宋" w:hAnsi="仿宋" w:eastAsia="仿宋" w:cs="仿宋"/>
                <w:bCs/>
                <w:sz w:val="21"/>
                <w:szCs w:val="21"/>
                <w:u w:val="none"/>
              </w:rPr>
            </w:pPr>
            <w:r>
              <w:rPr>
                <w:rFonts w:hint="eastAsia" w:ascii="仿宋" w:hAnsi="仿宋" w:eastAsia="仿宋" w:cs="仿宋"/>
                <w:bCs/>
                <w:sz w:val="21"/>
                <w:szCs w:val="21"/>
                <w:u w:val="none"/>
              </w:rPr>
              <w:t>停车管理员</w:t>
            </w:r>
          </w:p>
        </w:tc>
        <w:tc>
          <w:tcPr>
            <w:tcW w:w="1991" w:type="dxa"/>
            <w:vMerge w:val="continue"/>
            <w:noWrap w:val="0"/>
            <w:vAlign w:val="center"/>
          </w:tcPr>
          <w:p>
            <w:pPr>
              <w:adjustRightInd w:val="0"/>
              <w:snapToGrid w:val="0"/>
              <w:ind w:firstLine="0" w:firstLineChars="0"/>
              <w:jc w:val="left"/>
              <w:rPr>
                <w:rFonts w:hint="eastAsia" w:ascii="仿宋" w:hAnsi="仿宋" w:eastAsia="仿宋" w:cs="仿宋"/>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2"/>
              <w:rPr>
                <w:rFonts w:hint="eastAsia" w:ascii="仿宋" w:hAnsi="仿宋" w:eastAsia="仿宋" w:cs="仿宋"/>
                <w:b/>
                <w:sz w:val="21"/>
                <w:szCs w:val="21"/>
                <w:u w:val="none"/>
              </w:rPr>
            </w:pPr>
          </w:p>
        </w:tc>
        <w:tc>
          <w:tcPr>
            <w:tcW w:w="1080"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215"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453" w:type="dxa"/>
            <w:vMerge w:val="restart"/>
            <w:noWrap w:val="0"/>
            <w:vAlign w:val="center"/>
          </w:tcPr>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房地产中介服务人员</w:t>
            </w:r>
          </w:p>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（4-06-02）</w:t>
            </w:r>
          </w:p>
        </w:tc>
        <w:tc>
          <w:tcPr>
            <w:tcW w:w="1922" w:type="dxa"/>
            <w:noWrap w:val="0"/>
            <w:vAlign w:val="center"/>
          </w:tcPr>
          <w:p>
            <w:pPr>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物业销售代表</w:t>
            </w:r>
          </w:p>
        </w:tc>
        <w:tc>
          <w:tcPr>
            <w:tcW w:w="1991" w:type="dxa"/>
            <w:vMerge w:val="restart"/>
            <w:noWrap w:val="0"/>
            <w:vAlign w:val="center"/>
          </w:tcPr>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房地产经纪协理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080"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215"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453"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922" w:type="dxa"/>
            <w:noWrap w:val="0"/>
            <w:vAlign w:val="center"/>
          </w:tcPr>
          <w:p>
            <w:pPr>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房地产权证办理员</w:t>
            </w:r>
          </w:p>
        </w:tc>
        <w:tc>
          <w:tcPr>
            <w:tcW w:w="1991"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080"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215"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453"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922" w:type="dxa"/>
            <w:noWrap w:val="0"/>
            <w:vAlign w:val="center"/>
          </w:tcPr>
          <w:p>
            <w:pPr>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资料员</w:t>
            </w:r>
          </w:p>
        </w:tc>
        <w:tc>
          <w:tcPr>
            <w:tcW w:w="1991"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69" w:type="dxa"/>
            <w:vMerge w:val="continue"/>
            <w:noWrap w:val="0"/>
            <w:vAlign w:val="center"/>
          </w:tcPr>
          <w:p>
            <w:pPr>
              <w:ind w:firstLine="0" w:firstLineChars="0"/>
              <w:rPr>
                <w:rFonts w:hint="eastAsia" w:ascii="仿宋" w:hAnsi="仿宋" w:eastAsia="仿宋" w:cs="仿宋"/>
                <w:sz w:val="21"/>
                <w:szCs w:val="21"/>
                <w:u w:val="none"/>
              </w:rPr>
            </w:pPr>
          </w:p>
        </w:tc>
        <w:tc>
          <w:tcPr>
            <w:tcW w:w="1080" w:type="dxa"/>
            <w:vMerge w:val="continue"/>
            <w:noWrap w:val="0"/>
            <w:vAlign w:val="center"/>
          </w:tcPr>
          <w:p>
            <w:pPr>
              <w:ind w:firstLine="0" w:firstLineChars="0"/>
              <w:rPr>
                <w:rFonts w:hint="eastAsia" w:ascii="仿宋" w:hAnsi="仿宋" w:eastAsia="仿宋" w:cs="仿宋"/>
                <w:sz w:val="21"/>
                <w:szCs w:val="21"/>
                <w:u w:val="none"/>
              </w:rPr>
            </w:pPr>
          </w:p>
        </w:tc>
        <w:tc>
          <w:tcPr>
            <w:tcW w:w="1215" w:type="dxa"/>
            <w:vMerge w:val="continue"/>
            <w:noWrap w:val="0"/>
            <w:vAlign w:val="center"/>
          </w:tcPr>
          <w:p>
            <w:pPr>
              <w:ind w:firstLine="0" w:firstLineChars="0"/>
              <w:rPr>
                <w:rFonts w:hint="eastAsia" w:ascii="仿宋" w:hAnsi="仿宋" w:eastAsia="仿宋" w:cs="仿宋"/>
                <w:sz w:val="21"/>
                <w:szCs w:val="21"/>
                <w:u w:val="none"/>
              </w:rPr>
            </w:pPr>
          </w:p>
        </w:tc>
        <w:tc>
          <w:tcPr>
            <w:tcW w:w="1453" w:type="dxa"/>
            <w:vMerge w:val="continue"/>
            <w:noWrap w:val="0"/>
            <w:vAlign w:val="center"/>
          </w:tcPr>
          <w:p>
            <w:pPr>
              <w:ind w:firstLine="0" w:firstLineChars="0"/>
              <w:rPr>
                <w:rFonts w:hint="eastAsia" w:ascii="仿宋" w:hAnsi="仿宋" w:eastAsia="仿宋" w:cs="仿宋"/>
                <w:sz w:val="21"/>
                <w:szCs w:val="21"/>
                <w:u w:val="none"/>
              </w:rPr>
            </w:pPr>
          </w:p>
        </w:tc>
        <w:tc>
          <w:tcPr>
            <w:tcW w:w="1922" w:type="dxa"/>
            <w:noWrap w:val="0"/>
            <w:vAlign w:val="center"/>
          </w:tcPr>
          <w:p>
            <w:pPr>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物业租赁代表</w:t>
            </w:r>
          </w:p>
        </w:tc>
        <w:tc>
          <w:tcPr>
            <w:tcW w:w="1991" w:type="dxa"/>
            <w:vMerge w:val="continue"/>
            <w:noWrap w:val="0"/>
            <w:vAlign w:val="center"/>
          </w:tcPr>
          <w:p>
            <w:pPr>
              <w:ind w:firstLine="0" w:firstLineChars="0"/>
              <w:rPr>
                <w:rFonts w:hint="eastAsia" w:ascii="仿宋" w:hAnsi="仿宋" w:eastAsia="仿宋" w:cs="仿宋"/>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9" w:type="dxa"/>
            <w:vMerge w:val="continue"/>
            <w:noWrap w:val="0"/>
            <w:vAlign w:val="center"/>
          </w:tcPr>
          <w:p>
            <w:pPr>
              <w:adjustRightInd w:val="0"/>
              <w:snapToGrid w:val="0"/>
              <w:ind w:firstLine="422"/>
              <w:rPr>
                <w:rFonts w:hint="eastAsia" w:ascii="仿宋" w:hAnsi="仿宋" w:eastAsia="仿宋" w:cs="仿宋"/>
                <w:b/>
                <w:sz w:val="21"/>
                <w:szCs w:val="21"/>
                <w:u w:val="none"/>
              </w:rPr>
            </w:pPr>
          </w:p>
        </w:tc>
        <w:tc>
          <w:tcPr>
            <w:tcW w:w="1080"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215"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c>
          <w:tcPr>
            <w:tcW w:w="1453" w:type="dxa"/>
            <w:vMerge w:val="restart"/>
            <w:noWrap w:val="0"/>
            <w:vAlign w:val="center"/>
          </w:tcPr>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其他房地产服务人员</w:t>
            </w:r>
          </w:p>
          <w:p>
            <w:pPr>
              <w:adjustRightInd w:val="0"/>
              <w:snapToGrid w:val="0"/>
              <w:ind w:firstLine="0" w:firstLineChars="0"/>
              <w:jc w:val="left"/>
              <w:rPr>
                <w:rFonts w:hint="eastAsia" w:ascii="仿宋" w:hAnsi="仿宋" w:eastAsia="仿宋" w:cs="仿宋"/>
                <w:bCs/>
                <w:sz w:val="21"/>
                <w:szCs w:val="21"/>
                <w:u w:val="none"/>
              </w:rPr>
            </w:pPr>
            <w:r>
              <w:rPr>
                <w:rFonts w:hint="eastAsia" w:ascii="仿宋" w:hAnsi="仿宋" w:eastAsia="仿宋" w:cs="仿宋"/>
                <w:bCs/>
                <w:sz w:val="21"/>
                <w:szCs w:val="21"/>
                <w:u w:val="none"/>
              </w:rPr>
              <w:t>（4-06-99）</w:t>
            </w:r>
          </w:p>
        </w:tc>
        <w:tc>
          <w:tcPr>
            <w:tcW w:w="1922" w:type="dxa"/>
            <w:noWrap w:val="0"/>
            <w:vAlign w:val="center"/>
          </w:tcPr>
          <w:p>
            <w:pPr>
              <w:ind w:firstLine="0" w:firstLineChars="0"/>
              <w:rPr>
                <w:rFonts w:hint="eastAsia" w:ascii="仿宋" w:hAnsi="仿宋" w:eastAsia="仿宋" w:cs="仿宋"/>
                <w:b/>
                <w:sz w:val="21"/>
                <w:szCs w:val="21"/>
                <w:u w:val="none"/>
              </w:rPr>
            </w:pPr>
            <w:r>
              <w:rPr>
                <w:rFonts w:hint="eastAsia" w:ascii="仿宋" w:hAnsi="仿宋" w:eastAsia="仿宋" w:cs="仿宋"/>
                <w:sz w:val="21"/>
                <w:szCs w:val="21"/>
                <w:u w:val="none"/>
              </w:rPr>
              <w:t>社区管理与服务</w:t>
            </w:r>
          </w:p>
        </w:tc>
        <w:tc>
          <w:tcPr>
            <w:tcW w:w="1991" w:type="dxa"/>
            <w:vMerge w:val="restart"/>
            <w:noWrap w:val="0"/>
            <w:vAlign w:val="center"/>
          </w:tcPr>
          <w:p>
            <w:pPr>
              <w:adjustRightInd w:val="0"/>
              <w:snapToGrid w:val="0"/>
              <w:ind w:firstLine="422"/>
              <w:jc w:val="center"/>
              <w:rPr>
                <w:rFonts w:hint="eastAsia" w:ascii="仿宋" w:hAnsi="仿宋" w:eastAsia="仿宋" w:cs="仿宋"/>
                <w:b/>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080"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215"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453" w:type="dxa"/>
            <w:vMerge w:val="continue"/>
            <w:noWrap w:val="0"/>
            <w:vAlign w:val="center"/>
          </w:tcPr>
          <w:p>
            <w:pPr>
              <w:adjustRightInd w:val="0"/>
              <w:snapToGrid w:val="0"/>
              <w:ind w:firstLine="420"/>
              <w:jc w:val="center"/>
              <w:rPr>
                <w:rFonts w:hint="eastAsia" w:ascii="仿宋" w:hAnsi="仿宋" w:eastAsia="仿宋" w:cs="仿宋"/>
                <w:sz w:val="21"/>
                <w:szCs w:val="21"/>
                <w:u w:val="none"/>
              </w:rPr>
            </w:pPr>
          </w:p>
        </w:tc>
        <w:tc>
          <w:tcPr>
            <w:tcW w:w="1922" w:type="dxa"/>
            <w:noWrap w:val="0"/>
            <w:vAlign w:val="center"/>
          </w:tcPr>
          <w:p>
            <w:pPr>
              <w:ind w:firstLine="0" w:firstLineChars="0"/>
              <w:rPr>
                <w:rFonts w:hint="eastAsia" w:ascii="仿宋" w:hAnsi="仿宋" w:eastAsia="仿宋" w:cs="仿宋"/>
                <w:b/>
                <w:sz w:val="21"/>
                <w:szCs w:val="21"/>
                <w:u w:val="none"/>
              </w:rPr>
            </w:pPr>
            <w:r>
              <w:rPr>
                <w:rFonts w:hint="eastAsia" w:ascii="仿宋" w:hAnsi="仿宋" w:eastAsia="仿宋" w:cs="仿宋"/>
                <w:sz w:val="21"/>
                <w:szCs w:val="21"/>
                <w:u w:val="none"/>
              </w:rPr>
              <w:t>专职物业管理员</w:t>
            </w:r>
          </w:p>
        </w:tc>
        <w:tc>
          <w:tcPr>
            <w:tcW w:w="1991" w:type="dxa"/>
            <w:vMerge w:val="continue"/>
            <w:noWrap w:val="0"/>
            <w:vAlign w:val="center"/>
          </w:tcPr>
          <w:p>
            <w:pPr>
              <w:adjustRightInd w:val="0"/>
              <w:snapToGrid w:val="0"/>
              <w:ind w:firstLine="422"/>
              <w:jc w:val="center"/>
              <w:rPr>
                <w:rFonts w:hint="eastAsia" w:ascii="仿宋" w:hAnsi="仿宋" w:eastAsia="仿宋" w:cs="仿宋"/>
                <w:b/>
                <w:sz w:val="21"/>
                <w:szCs w:val="21"/>
                <w:u w:val="none"/>
              </w:rPr>
            </w:pPr>
          </w:p>
        </w:tc>
      </w:tr>
    </w:tbl>
    <w:p>
      <w:pPr>
        <w:ind w:left="0" w:leftChars="0" w:firstLine="0" w:firstLineChars="0"/>
        <w:rPr>
          <w:rFonts w:hint="eastAsia"/>
          <w:u w:val="none"/>
        </w:rPr>
      </w:pPr>
    </w:p>
    <w:p>
      <w:pPr>
        <w:pStyle w:val="3"/>
        <w:ind w:firstLine="562"/>
        <w:rPr>
          <w:rFonts w:hint="eastAsia"/>
          <w:u w:val="none"/>
        </w:rPr>
      </w:pPr>
      <w:bookmarkStart w:id="4" w:name="_Toc18933"/>
      <w:r>
        <w:rPr>
          <w:rFonts w:hint="eastAsia"/>
          <w:u w:val="none"/>
        </w:rPr>
        <w:t>五、培养目标与培养规格</w:t>
      </w:r>
      <w:bookmarkEnd w:id="4"/>
    </w:p>
    <w:p>
      <w:pPr>
        <w:pStyle w:val="4"/>
        <w:ind w:firstLine="482"/>
        <w:rPr>
          <w:rFonts w:hint="eastAsia"/>
          <w:u w:val="none"/>
        </w:rPr>
      </w:pPr>
      <w:bookmarkStart w:id="5" w:name="_Toc20886"/>
      <w:r>
        <w:rPr>
          <w:rFonts w:hint="eastAsia"/>
          <w:u w:val="none"/>
        </w:rPr>
        <w:t>（一）培养目标</w:t>
      </w:r>
      <w:bookmarkEnd w:id="5"/>
    </w:p>
    <w:p>
      <w:pPr>
        <w:ind w:firstLine="480"/>
        <w:rPr>
          <w:rFonts w:hint="eastAsia" w:ascii="宋体" w:hAnsi="宋体" w:cs="宋体"/>
          <w:u w:val="none"/>
        </w:rPr>
      </w:pPr>
      <w:bookmarkStart w:id="6" w:name="_Toc26213"/>
      <w:bookmarkStart w:id="7" w:name="_Toc10762"/>
      <w:bookmarkStart w:id="8" w:name="_Toc16851787"/>
      <w:bookmarkStart w:id="9" w:name="_Toc16853269"/>
      <w:bookmarkStart w:id="10" w:name="_Toc17858"/>
      <w:r>
        <w:rPr>
          <w:rFonts w:hint="eastAsia" w:ascii="宋体" w:hAnsi="宋体" w:cs="宋体"/>
          <w:u w:val="none"/>
        </w:rPr>
        <w:t>立足安徽面向周边省份，服务于现代物业管理、社区、</w:t>
      </w:r>
      <w:r>
        <w:rPr>
          <w:u w:val="none"/>
        </w:rPr>
        <w:t>房地产开发建设管理与经营管理</w:t>
      </w:r>
      <w:r>
        <w:rPr>
          <w:rFonts w:hint="eastAsia"/>
          <w:u w:val="none"/>
        </w:rPr>
        <w:t>等领域，</w:t>
      </w:r>
      <w:r>
        <w:rPr>
          <w:rFonts w:hint="eastAsia" w:ascii="宋体" w:hAnsi="宋体" w:cs="宋体"/>
          <w:u w:val="none"/>
        </w:rPr>
        <w:t>培养理想信念坚定，</w:t>
      </w:r>
      <w:r>
        <w:rPr>
          <w:rFonts w:hint="eastAsia" w:ascii="宋体" w:hAnsi="宋体" w:cs="宋体"/>
          <w:highlight w:val="none"/>
          <w:u w:val="none"/>
        </w:rPr>
        <w:t>德智体美劳全面发展</w:t>
      </w:r>
      <w:r>
        <w:rPr>
          <w:rFonts w:hint="eastAsia" w:ascii="宋体" w:hAnsi="宋体" w:cs="宋体"/>
          <w:u w:val="none"/>
        </w:rPr>
        <w:t>，具有一定的科学文化水平，良好的人文素养、职业道德和创新意识，精益求精的工匠精神，较强的就业能力和可持续发展的能力；掌握现代物业管理专业知识和技术技能，面向房地产业的现代物业管理员、现代物业经营管理专业人员、客户服务管理员、管理咨询专业人员等职业群，能够从事现代物业设施设备管理、现代物业空间维护与营造管理、现代物业服务咨询、现代物业资产经营和现代物业客户服务工作的高素质劳动者和技术技能人才，</w:t>
      </w:r>
      <w:r>
        <w:rPr>
          <w:rFonts w:hint="eastAsia" w:ascii="宋体" w:hAnsi="宋体" w:cs="宋体"/>
          <w:bCs/>
          <w:szCs w:val="24"/>
          <w:u w:val="none"/>
        </w:rPr>
        <w:t>成为德智体美劳全面发展的社会主义建设者和接班人</w:t>
      </w:r>
      <w:r>
        <w:rPr>
          <w:rFonts w:hint="eastAsia" w:ascii="宋体" w:hAnsi="宋体" w:cs="宋体"/>
          <w:u w:val="none"/>
        </w:rPr>
        <w:t>。</w:t>
      </w:r>
      <w:bookmarkEnd w:id="6"/>
      <w:bookmarkEnd w:id="7"/>
      <w:bookmarkEnd w:id="8"/>
      <w:bookmarkEnd w:id="9"/>
      <w:bookmarkEnd w:id="10"/>
    </w:p>
    <w:p>
      <w:pPr>
        <w:pStyle w:val="4"/>
        <w:ind w:firstLine="482"/>
        <w:rPr>
          <w:rFonts w:hint="eastAsia"/>
          <w:highlight w:val="green"/>
          <w:u w:val="none"/>
        </w:rPr>
      </w:pPr>
      <w:bookmarkStart w:id="11" w:name="_Toc804"/>
      <w:r>
        <w:rPr>
          <w:rFonts w:hint="eastAsia"/>
          <w:highlight w:val="none"/>
          <w:u w:val="none"/>
        </w:rPr>
        <w:t>（二）培养规格</w:t>
      </w:r>
      <w:bookmarkEnd w:id="11"/>
    </w:p>
    <w:p>
      <w:pPr>
        <w:pStyle w:val="6"/>
        <w:spacing w:before="0" w:beforeAutospacing="0" w:after="0" w:afterAutospacing="0"/>
        <w:rPr>
          <w:rFonts w:ascii="宋体" w:hAnsi="宋体" w:eastAsia="宋体"/>
          <w:szCs w:val="24"/>
          <w:u w:val="none"/>
        </w:rPr>
      </w:pPr>
      <w:r>
        <w:rPr>
          <w:rFonts w:hint="eastAsia" w:ascii="宋体" w:hAnsi="宋体" w:eastAsia="宋体"/>
          <w:szCs w:val="24"/>
          <w:u w:val="none"/>
        </w:rPr>
        <w:t>本专业所培养的人才应具有以下知识结构要求、能力结构要求与素质结构要求。</w:t>
      </w:r>
    </w:p>
    <w:p>
      <w:pPr>
        <w:pStyle w:val="6"/>
        <w:spacing w:before="0" w:beforeAutospacing="0" w:after="0" w:afterAutospacing="0"/>
        <w:ind w:firstLine="482"/>
        <w:outlineLvl w:val="3"/>
        <w:rPr>
          <w:rFonts w:ascii="楷体" w:hAnsi="楷体" w:eastAsia="楷体"/>
          <w:b/>
          <w:szCs w:val="24"/>
          <w:u w:val="none"/>
        </w:rPr>
      </w:pPr>
      <w:bookmarkStart w:id="12" w:name="_Toc24908"/>
      <w:bookmarkStart w:id="13" w:name="_Toc29477_WPSOffice_Level3"/>
      <w:bookmarkStart w:id="14" w:name="_Toc12786_WPSOffice_Level3"/>
      <w:bookmarkStart w:id="15" w:name="_Toc20471"/>
      <w:bookmarkStart w:id="16" w:name="_Toc21204"/>
      <w:bookmarkStart w:id="17" w:name="_Toc16853280"/>
      <w:bookmarkStart w:id="18" w:name="_Toc576_WPSOffice_Level3"/>
      <w:r>
        <w:rPr>
          <w:rFonts w:hint="eastAsia" w:ascii="楷体" w:hAnsi="楷体" w:eastAsia="楷体"/>
          <w:b/>
          <w:szCs w:val="24"/>
          <w:u w:val="none"/>
        </w:rPr>
        <w:t>1.知识结构要求</w:t>
      </w:r>
      <w:bookmarkEnd w:id="12"/>
      <w:bookmarkEnd w:id="13"/>
      <w:bookmarkEnd w:id="14"/>
      <w:bookmarkEnd w:id="15"/>
      <w:bookmarkEnd w:id="16"/>
      <w:bookmarkEnd w:id="17"/>
      <w:bookmarkEnd w:id="18"/>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必要的法律、信息技术、英语等基础知识，系统掌握本专业必备的基本理论知识:</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1</w:t>
      </w:r>
      <w:r>
        <w:rPr>
          <w:rFonts w:hint="eastAsia"/>
          <w:u w:val="none"/>
          <w:lang w:eastAsia="zh-CN"/>
        </w:rPr>
        <w:t>）</w:t>
      </w:r>
      <w:r>
        <w:rPr>
          <w:rFonts w:hint="eastAsia"/>
          <w:u w:val="none"/>
        </w:rPr>
        <w:t>熟悉管理学、物业管理学的基本理论；</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2</w:t>
      </w:r>
      <w:r>
        <w:rPr>
          <w:rFonts w:hint="eastAsia"/>
          <w:u w:val="none"/>
          <w:lang w:eastAsia="zh-CN"/>
        </w:rPr>
        <w:t>）</w:t>
      </w:r>
      <w:r>
        <w:rPr>
          <w:rFonts w:hint="eastAsia"/>
          <w:u w:val="none"/>
        </w:rPr>
        <w:t>熟悉经济学</w:t>
      </w:r>
      <w:r>
        <w:rPr>
          <w:rFonts w:hint="eastAsia"/>
          <w:u w:val="none"/>
          <w:lang w:val="en-US" w:eastAsia="zh-CN"/>
        </w:rPr>
        <w:t>基础</w:t>
      </w:r>
      <w:r>
        <w:rPr>
          <w:rFonts w:hint="eastAsia"/>
          <w:u w:val="none"/>
        </w:rPr>
        <w:t>、</w:t>
      </w:r>
      <w:r>
        <w:rPr>
          <w:rFonts w:hint="eastAsia"/>
          <w:u w:val="none"/>
          <w:lang w:val="en-US" w:eastAsia="zh-CN"/>
        </w:rPr>
        <w:t>基础</w:t>
      </w:r>
      <w:r>
        <w:rPr>
          <w:rFonts w:hint="eastAsia"/>
          <w:u w:val="none"/>
        </w:rPr>
        <w:t>会计及物业财务管理的基本理论；</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3</w:t>
      </w:r>
      <w:r>
        <w:rPr>
          <w:rFonts w:hint="eastAsia"/>
          <w:u w:val="none"/>
          <w:lang w:eastAsia="zh-CN"/>
        </w:rPr>
        <w:t>）</w:t>
      </w:r>
      <w:r>
        <w:rPr>
          <w:rFonts w:hint="eastAsia"/>
          <w:u w:val="none"/>
        </w:rPr>
        <w:t>掌握房地产经营、开发与管理的基本理论；</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4</w:t>
      </w:r>
      <w:r>
        <w:rPr>
          <w:rFonts w:hint="eastAsia"/>
          <w:u w:val="none"/>
          <w:lang w:eastAsia="zh-CN"/>
        </w:rPr>
        <w:t>）</w:t>
      </w:r>
      <w:r>
        <w:rPr>
          <w:rFonts w:hint="eastAsia"/>
          <w:u w:val="none"/>
        </w:rPr>
        <w:t xml:space="preserve">掌握现代物业管理的基本理论和主要内容； </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5</w:t>
      </w:r>
      <w:r>
        <w:rPr>
          <w:rFonts w:hint="eastAsia"/>
          <w:u w:val="none"/>
          <w:lang w:eastAsia="zh-CN"/>
        </w:rPr>
        <w:t>）</w:t>
      </w:r>
      <w:r>
        <w:rPr>
          <w:rFonts w:hint="eastAsia"/>
          <w:u w:val="none"/>
        </w:rPr>
        <w:t>掌握房地产营销的基本理论，懂得房地产业与金融业的关系；</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6</w:t>
      </w:r>
      <w:r>
        <w:rPr>
          <w:rFonts w:hint="eastAsia"/>
          <w:u w:val="none"/>
          <w:lang w:eastAsia="zh-CN"/>
        </w:rPr>
        <w:t>）</w:t>
      </w:r>
      <w:r>
        <w:rPr>
          <w:rFonts w:hint="eastAsia"/>
          <w:u w:val="none"/>
        </w:rPr>
        <w:t>掌握房屋建筑的构造设计和水电设计与安装的基本常识；</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7</w:t>
      </w:r>
      <w:r>
        <w:rPr>
          <w:rFonts w:hint="eastAsia"/>
          <w:u w:val="none"/>
          <w:lang w:eastAsia="zh-CN"/>
        </w:rPr>
        <w:t>）</w:t>
      </w:r>
      <w:r>
        <w:rPr>
          <w:rFonts w:hint="eastAsia"/>
          <w:u w:val="none"/>
        </w:rPr>
        <w:t>了解各种不同物业的设备与设施的组成及维护保养方法；</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8</w:t>
      </w:r>
      <w:r>
        <w:rPr>
          <w:rFonts w:hint="eastAsia"/>
          <w:u w:val="none"/>
          <w:lang w:eastAsia="zh-CN"/>
        </w:rPr>
        <w:t>）</w:t>
      </w:r>
      <w:r>
        <w:rPr>
          <w:rFonts w:hint="eastAsia"/>
          <w:u w:val="none"/>
        </w:rPr>
        <w:t xml:space="preserve">具备现代物业管理计算机化的基本理论、内容、结构以及建立过程； </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9</w:t>
      </w:r>
      <w:r>
        <w:rPr>
          <w:rFonts w:hint="eastAsia"/>
          <w:u w:val="none"/>
          <w:lang w:eastAsia="zh-CN"/>
        </w:rPr>
        <w:t>）</w:t>
      </w:r>
      <w:r>
        <w:rPr>
          <w:rFonts w:hint="eastAsia"/>
          <w:u w:val="none"/>
        </w:rPr>
        <w:t>熟悉社区与居住区物业与环境规划的基本理论和基本方法；</w:t>
      </w:r>
    </w:p>
    <w:p>
      <w:pPr>
        <w:pStyle w:val="41"/>
        <w:ind w:left="480" w:leftChars="200" w:firstLine="0" w:firstLineChars="0"/>
        <w:rPr>
          <w:rFonts w:hint="eastAsia"/>
          <w:u w:val="none"/>
        </w:rPr>
      </w:pPr>
      <w:r>
        <w:rPr>
          <w:rFonts w:hint="eastAsia"/>
          <w:u w:val="none"/>
          <w:lang w:eastAsia="zh-CN"/>
        </w:rPr>
        <w:t>（</w:t>
      </w:r>
      <w:r>
        <w:rPr>
          <w:rFonts w:hint="eastAsia"/>
          <w:u w:val="none"/>
          <w:lang w:val="en-US" w:eastAsia="zh-CN"/>
        </w:rPr>
        <w:t>10</w:t>
      </w:r>
      <w:r>
        <w:rPr>
          <w:rFonts w:hint="eastAsia"/>
          <w:u w:val="none"/>
          <w:lang w:eastAsia="zh-CN"/>
        </w:rPr>
        <w:t>）</w:t>
      </w:r>
      <w:r>
        <w:rPr>
          <w:rFonts w:hint="eastAsia"/>
          <w:u w:val="none"/>
        </w:rPr>
        <w:t>熟悉现代物业管理、房地产管理、治安管理、消防管理的法律和政策。</w:t>
      </w:r>
      <w:r>
        <w:rPr>
          <w:rFonts w:hint="eastAsia" w:ascii="宋体" w:hAnsi="宋体"/>
          <w:szCs w:val="24"/>
          <w:u w:val="none"/>
        </w:rPr>
        <w:t xml:space="preserve"> </w:t>
      </w:r>
    </w:p>
    <w:p>
      <w:pPr>
        <w:pStyle w:val="6"/>
        <w:spacing w:before="0" w:beforeAutospacing="0" w:after="0" w:afterAutospacing="0"/>
        <w:ind w:firstLine="482"/>
        <w:outlineLvl w:val="3"/>
        <w:rPr>
          <w:rFonts w:hint="eastAsia" w:ascii="楷体" w:hAnsi="楷体" w:eastAsia="楷体"/>
          <w:b/>
          <w:szCs w:val="24"/>
          <w:u w:val="none"/>
        </w:rPr>
      </w:pPr>
      <w:bookmarkStart w:id="19" w:name="_Toc25252_WPSOffice_Level3"/>
      <w:bookmarkStart w:id="20" w:name="_Toc16853281"/>
      <w:bookmarkStart w:id="21" w:name="_Toc6142_WPSOffice_Level3"/>
      <w:bookmarkStart w:id="22" w:name="_Toc130_WPSOffice_Level3"/>
      <w:bookmarkStart w:id="23" w:name="_Toc25304"/>
      <w:bookmarkStart w:id="24" w:name="_Toc18999"/>
      <w:bookmarkStart w:id="25" w:name="_Toc7980"/>
      <w:r>
        <w:rPr>
          <w:rFonts w:hint="eastAsia" w:ascii="楷体" w:hAnsi="楷体" w:eastAsia="楷体"/>
          <w:b/>
          <w:szCs w:val="24"/>
          <w:u w:val="none"/>
        </w:rPr>
        <w:t>2.能力结构要求</w:t>
      </w:r>
      <w:bookmarkEnd w:id="19"/>
      <w:bookmarkEnd w:id="20"/>
      <w:bookmarkEnd w:id="21"/>
      <w:bookmarkEnd w:id="22"/>
      <w:bookmarkEnd w:id="23"/>
      <w:bookmarkEnd w:id="24"/>
      <w:bookmarkEnd w:id="25"/>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1</w:t>
      </w:r>
      <w:r>
        <w:rPr>
          <w:rFonts w:hint="eastAsia"/>
          <w:u w:val="none"/>
          <w:lang w:eastAsia="zh-CN"/>
        </w:rPr>
        <w:t>）</w:t>
      </w:r>
      <w:r>
        <w:rPr>
          <w:rFonts w:hint="eastAsia"/>
          <w:u w:val="none"/>
        </w:rPr>
        <w:t>具有探究学习、终身学习、分析问题和解决问题的能力；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2</w:t>
      </w:r>
      <w:r>
        <w:rPr>
          <w:rFonts w:hint="eastAsia"/>
          <w:u w:val="none"/>
          <w:lang w:eastAsia="zh-CN"/>
        </w:rPr>
        <w:t>）</w:t>
      </w:r>
      <w:r>
        <w:rPr>
          <w:rFonts w:hint="eastAsia"/>
          <w:u w:val="none"/>
        </w:rPr>
        <w:t>具有良好的语言、文字表达能力和沟通能力；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3</w:t>
      </w:r>
      <w:r>
        <w:rPr>
          <w:rFonts w:hint="eastAsia"/>
          <w:u w:val="none"/>
          <w:lang w:eastAsia="zh-CN"/>
        </w:rPr>
        <w:t>）</w:t>
      </w:r>
      <w:r>
        <w:rPr>
          <w:rFonts w:hint="eastAsia"/>
          <w:u w:val="none"/>
        </w:rPr>
        <w:t>具有运用现代技术进行物业设施管理的组织管理能力；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4</w:t>
      </w:r>
      <w:r>
        <w:rPr>
          <w:rFonts w:hint="eastAsia"/>
          <w:u w:val="none"/>
          <w:lang w:eastAsia="zh-CN"/>
        </w:rPr>
        <w:t>）</w:t>
      </w:r>
      <w:r>
        <w:rPr>
          <w:rFonts w:hint="eastAsia"/>
          <w:u w:val="none"/>
        </w:rPr>
        <w:t>具有智慧城区、智慧园区、智慧住宅小区管理与运维能力；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5</w:t>
      </w:r>
      <w:r>
        <w:rPr>
          <w:rFonts w:hint="eastAsia"/>
          <w:u w:val="none"/>
          <w:lang w:eastAsia="zh-CN"/>
        </w:rPr>
        <w:t>）</w:t>
      </w:r>
      <w:r>
        <w:rPr>
          <w:rFonts w:hint="eastAsia"/>
          <w:u w:val="none"/>
        </w:rPr>
        <w:t>具有大型公共建筑、高层建筑、综合体等现代物业设施管理与运维能力；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6</w:t>
      </w:r>
      <w:r>
        <w:rPr>
          <w:rFonts w:hint="eastAsia"/>
          <w:u w:val="none"/>
          <w:lang w:eastAsia="zh-CN"/>
        </w:rPr>
        <w:t>）</w:t>
      </w:r>
      <w:r>
        <w:rPr>
          <w:rFonts w:hint="eastAsia"/>
          <w:u w:val="none"/>
        </w:rPr>
        <w:t>具有物业设施承接查验与客户入住服务等专业能力；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7</w:t>
      </w:r>
      <w:r>
        <w:rPr>
          <w:rFonts w:hint="eastAsia"/>
          <w:u w:val="none"/>
          <w:lang w:eastAsia="zh-CN"/>
        </w:rPr>
        <w:t>）</w:t>
      </w:r>
      <w:r>
        <w:rPr>
          <w:rFonts w:hint="eastAsia"/>
          <w:u w:val="none"/>
        </w:rPr>
        <w:t>具有物业管理法律法规运用能力；</w:t>
      </w:r>
    </w:p>
    <w:p>
      <w:pPr>
        <w:pStyle w:val="41"/>
        <w:numPr>
          <w:ilvl w:val="0"/>
          <w:numId w:val="0"/>
        </w:numPr>
        <w:ind w:leftChars="200"/>
        <w:rPr>
          <w:rFonts w:hint="eastAsia"/>
          <w:u w:val="none"/>
        </w:rPr>
      </w:pPr>
      <w:r>
        <w:rPr>
          <w:rFonts w:hint="eastAsia"/>
          <w:u w:val="none"/>
          <w:lang w:eastAsia="zh-CN"/>
        </w:rPr>
        <w:t>（</w:t>
      </w:r>
      <w:r>
        <w:rPr>
          <w:rFonts w:hint="eastAsia"/>
          <w:u w:val="none"/>
          <w:lang w:val="en-US" w:eastAsia="zh-CN"/>
        </w:rPr>
        <w:t>8</w:t>
      </w:r>
      <w:r>
        <w:rPr>
          <w:rFonts w:hint="eastAsia"/>
          <w:u w:val="none"/>
          <w:lang w:eastAsia="zh-CN"/>
        </w:rPr>
        <w:t>）</w:t>
      </w:r>
      <w:r>
        <w:rPr>
          <w:rFonts w:hint="eastAsia"/>
          <w:u w:val="none"/>
        </w:rPr>
        <w:t>具有资料收集、报告撰写、文档制作能力。</w:t>
      </w:r>
    </w:p>
    <w:p>
      <w:pPr>
        <w:pStyle w:val="6"/>
        <w:spacing w:before="0" w:beforeAutospacing="0" w:after="0" w:afterAutospacing="0"/>
        <w:ind w:firstLine="482"/>
        <w:outlineLvl w:val="3"/>
        <w:rPr>
          <w:rFonts w:hint="eastAsia" w:ascii="楷体" w:hAnsi="楷体" w:eastAsia="楷体"/>
          <w:b/>
          <w:szCs w:val="24"/>
          <w:u w:val="none"/>
        </w:rPr>
      </w:pPr>
      <w:bookmarkStart w:id="26" w:name="_Toc85"/>
      <w:bookmarkStart w:id="27" w:name="_Toc23117_WPSOffice_Level3"/>
      <w:bookmarkStart w:id="28" w:name="_Toc32677"/>
      <w:bookmarkStart w:id="29" w:name="_Toc12274_WPSOffice_Level3"/>
      <w:bookmarkStart w:id="30" w:name="_Toc23420"/>
      <w:bookmarkStart w:id="31" w:name="_Toc11530_WPSOffice_Level3"/>
      <w:bookmarkStart w:id="32" w:name="_Toc16853282"/>
      <w:r>
        <w:rPr>
          <w:rFonts w:hint="eastAsia" w:ascii="楷体" w:hAnsi="楷体" w:eastAsia="楷体"/>
          <w:b/>
          <w:szCs w:val="24"/>
          <w:u w:val="none"/>
        </w:rPr>
        <w:t>3.素质结构要求</w:t>
      </w:r>
      <w:bookmarkEnd w:id="26"/>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（1）热爱社会主义祖国，拥护党的基本路线；</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（2）了解中国特色社会主义理论体系的基本原理；</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（3）具有爱国主义、集体主义、社会主义思想和良好的道德品质；</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（4）遵纪守法，有良好的社会公德；</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（5）具有创业精神、良好的职业道德，服务意识和团结协作精神；</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ascii="宋体" w:hAnsi="宋体"/>
          <w:kern w:val="0"/>
          <w:u w:val="none"/>
        </w:rPr>
      </w:pPr>
      <w:r>
        <w:rPr>
          <w:rFonts w:hint="eastAsia" w:ascii="宋体" w:hAnsi="宋体"/>
          <w:kern w:val="0"/>
          <w:u w:val="none"/>
        </w:rPr>
        <w:t>（6）具有从事本专业工作的安全生产、环境保护、职业道德等意识，能遵守相关</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的法律法规；</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（7）树立社会主义和集体主义为核心的人生观和价值观；</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（8）拥护党的各项路线、方针、政策，有较强的参政议政意识；</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（10）树立社会主义民主法制观念；</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ascii="宋体" w:hAnsi="宋体"/>
          <w:kern w:val="0"/>
          <w:u w:val="none"/>
        </w:rPr>
      </w:pPr>
      <w:r>
        <w:rPr>
          <w:rFonts w:hint="eastAsia" w:ascii="宋体" w:hAnsi="宋体"/>
          <w:kern w:val="0"/>
          <w:u w:val="none"/>
        </w:rPr>
        <w:t>（11）具有较高的文化素养，较强的文字写作、语言表达能力，健康的业余爱好，</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掌握社会科学基本理论、知识和技能，有较强的逻辑思维能力；</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ascii="宋体" w:hAnsi="宋体"/>
          <w:kern w:val="0"/>
          <w:u w:val="none"/>
        </w:rPr>
      </w:pPr>
      <w:r>
        <w:rPr>
          <w:rFonts w:hint="eastAsia" w:ascii="宋体" w:hAnsi="宋体"/>
          <w:kern w:val="0"/>
          <w:u w:val="none"/>
        </w:rPr>
        <w:t>（12）具有正确的学习目的和学习态度，养成勤奋好学、刻苦钻研、勇于探索、不</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断进取的良好学风；</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ascii="宋体" w:hAnsi="宋体"/>
          <w:kern w:val="0"/>
          <w:u w:val="none"/>
        </w:rPr>
      </w:pPr>
      <w:r>
        <w:rPr>
          <w:rFonts w:hint="eastAsia" w:ascii="宋体" w:hAnsi="宋体"/>
          <w:kern w:val="0"/>
          <w:u w:val="none"/>
        </w:rPr>
        <w:t>(13)掌握学习现代科学知识的方法，积极参加社会实践和专业技能训练，善于了</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kern w:val="0"/>
          <w:u w:val="none"/>
        </w:rPr>
      </w:pPr>
      <w:r>
        <w:rPr>
          <w:rFonts w:hint="eastAsia" w:ascii="宋体" w:hAnsi="宋体"/>
          <w:kern w:val="0"/>
          <w:u w:val="none"/>
        </w:rPr>
        <w:t>解专业发展动态;</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(14)树立科学的强身健体和终身锻炼的意识；</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(15)具有自尊、自爱、自律、自强的优良品质；</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(16)较强的适应环境的心理调适能力；</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ascii="宋体" w:hAnsi="宋体"/>
          <w:kern w:val="0"/>
          <w:u w:val="none"/>
        </w:rPr>
      </w:pPr>
      <w:r>
        <w:rPr>
          <w:rFonts w:hint="eastAsia" w:ascii="宋体" w:hAnsi="宋体"/>
          <w:kern w:val="0"/>
          <w:u w:val="none"/>
        </w:rPr>
        <w:t>(17)具有不畏艰难、不屈挫折、坚忍不拔、百折不挠的毅力和豁达开朗的乐观主</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jc w:val="left"/>
        <w:textAlignment w:val="auto"/>
        <w:rPr>
          <w:rFonts w:hint="eastAsia" w:ascii="宋体" w:hAnsi="宋体"/>
          <w:kern w:val="0"/>
          <w:u w:val="none"/>
        </w:rPr>
      </w:pPr>
      <w:r>
        <w:rPr>
          <w:rFonts w:hint="eastAsia" w:ascii="宋体" w:hAnsi="宋体"/>
          <w:kern w:val="0"/>
          <w:u w:val="none"/>
        </w:rPr>
        <w:t>义精神。</w:t>
      </w:r>
    </w:p>
    <w:p>
      <w:pPr>
        <w:pStyle w:val="3"/>
        <w:ind w:firstLine="562"/>
        <w:rPr>
          <w:rFonts w:hint="eastAsia"/>
          <w:u w:val="none"/>
        </w:rPr>
      </w:pPr>
      <w:bookmarkStart w:id="33" w:name="_Toc25176"/>
      <w:r>
        <w:rPr>
          <w:rFonts w:hint="eastAsia"/>
          <w:u w:val="none"/>
        </w:rPr>
        <w:t>六、课程体系与课程设置及要求</w:t>
      </w:r>
      <w:bookmarkEnd w:id="33"/>
    </w:p>
    <w:p>
      <w:pPr>
        <w:pStyle w:val="4"/>
        <w:ind w:firstLine="482"/>
        <w:rPr>
          <w:rFonts w:hint="eastAsia"/>
          <w:u w:val="none"/>
        </w:rPr>
      </w:pPr>
      <w:bookmarkStart w:id="34" w:name="_Toc16794"/>
      <w:r>
        <w:rPr>
          <w:rFonts w:hint="eastAsia"/>
          <w:u w:val="none"/>
        </w:rPr>
        <w:t>（一）课程体系</w:t>
      </w:r>
      <w:bookmarkEnd w:id="34"/>
    </w:p>
    <w:p>
      <w:pPr>
        <w:ind w:firstLine="480"/>
        <w:rPr>
          <w:rFonts w:hint="eastAsia" w:ascii="宋体" w:hAnsi="宋体"/>
          <w:szCs w:val="24"/>
          <w:u w:val="none"/>
        </w:rPr>
      </w:pPr>
      <w:bookmarkStart w:id="35" w:name="_Toc21130_WPSOffice_Level3"/>
      <w:r>
        <w:rPr>
          <w:rFonts w:hint="eastAsia" w:ascii="宋体" w:hAnsi="宋体"/>
          <w:szCs w:val="24"/>
          <w:u w:val="none"/>
        </w:rPr>
        <w:t>结合现代物业管理专业人才培养特点，本专业既重视第一课堂的学习，又重视第二课堂的实践。为了拓展学生的专业视野，提高学生的专业素养，提升学生未来职场能力，本专业开展形式多样、丰富多彩的第二课堂活动。第二课堂活动把扩大学生知识面、培养创新意识与创新能力、提高职业素养和能力作为重点。</w:t>
      </w:r>
    </w:p>
    <w:p>
      <w:pPr>
        <w:ind w:firstLine="480"/>
        <w:rPr>
          <w:rFonts w:ascii="宋体" w:cs="宋体"/>
          <w:color w:val="000000"/>
          <w:kern w:val="0"/>
          <w:szCs w:val="24"/>
          <w:u w:val="none"/>
        </w:rPr>
      </w:pPr>
      <w:r>
        <w:rPr>
          <w:rFonts w:hint="eastAsia" w:ascii="宋体" w:hAnsi="宋体"/>
          <w:szCs w:val="24"/>
          <w:u w:val="none"/>
        </w:rPr>
        <w:t>1.以行业标准为依据，</w:t>
      </w:r>
      <w:r>
        <w:rPr>
          <w:rFonts w:hint="eastAsia" w:ascii="宋体" w:hAnsi="宋体"/>
          <w:bCs/>
          <w:szCs w:val="24"/>
          <w:u w:val="none"/>
        </w:rPr>
        <w:t>继续遵照国家支持高等职业院校提升专业服务能力的精神，</w:t>
      </w:r>
      <w:r>
        <w:rPr>
          <w:rFonts w:hint="eastAsia" w:ascii="宋体" w:hAnsi="宋体"/>
          <w:szCs w:val="24"/>
          <w:u w:val="none"/>
        </w:rPr>
        <w:t>围绕区域经济发展，大力推进政府、行业、企业和学校“四方联动</w:t>
      </w:r>
      <w:r>
        <w:rPr>
          <w:rFonts w:hint="eastAsia" w:ascii="宋体"/>
          <w:szCs w:val="24"/>
          <w:u w:val="none"/>
        </w:rPr>
        <w:t>”</w:t>
      </w:r>
      <w:r>
        <w:rPr>
          <w:rFonts w:hint="eastAsia" w:ascii="宋体" w:hAnsi="宋体" w:cs="宋体"/>
          <w:color w:val="000000"/>
          <w:kern w:val="0"/>
          <w:szCs w:val="24"/>
          <w:u w:val="none"/>
        </w:rPr>
        <w:t>，做好工程管理企业类型需求调研，重构课程体系。</w:t>
      </w:r>
    </w:p>
    <w:p>
      <w:pPr>
        <w:ind w:firstLine="480"/>
        <w:rPr>
          <w:rFonts w:ascii="宋体" w:cs="宋体"/>
          <w:color w:val="000000"/>
          <w:kern w:val="0"/>
          <w:szCs w:val="24"/>
          <w:u w:val="none"/>
        </w:rPr>
      </w:pPr>
      <w:r>
        <w:rPr>
          <w:rFonts w:hint="eastAsia" w:ascii="宋体" w:hAnsi="宋体" w:cs="宋体"/>
          <w:color w:val="000000"/>
          <w:kern w:val="0"/>
          <w:szCs w:val="24"/>
          <w:u w:val="none"/>
        </w:rPr>
        <w:t>2.以企业岗位需求为依据，规范课程应知、应会、典型项目的具体内容。</w:t>
      </w:r>
    </w:p>
    <w:p>
      <w:pPr>
        <w:ind w:firstLine="480"/>
        <w:rPr>
          <w:rFonts w:ascii="宋体"/>
          <w:szCs w:val="24"/>
          <w:u w:val="none"/>
        </w:rPr>
      </w:pPr>
      <w:r>
        <w:rPr>
          <w:rFonts w:hint="eastAsia" w:ascii="宋体" w:hAnsi="宋体" w:cs="宋体"/>
          <w:color w:val="000000"/>
          <w:kern w:val="0"/>
          <w:szCs w:val="24"/>
          <w:u w:val="none"/>
        </w:rPr>
        <w:t>3.引进职业资格证书制度，</w:t>
      </w:r>
      <w:r>
        <w:rPr>
          <w:rFonts w:hint="eastAsia" w:ascii="宋体" w:hAnsi="宋体"/>
          <w:szCs w:val="24"/>
          <w:u w:val="none"/>
        </w:rPr>
        <w:t>形成以职业核心为能力的“双证融通”教学模块。</w:t>
      </w:r>
    </w:p>
    <w:p>
      <w:pPr>
        <w:autoSpaceDE w:val="0"/>
        <w:autoSpaceDN w:val="0"/>
        <w:adjustRightInd w:val="0"/>
        <w:ind w:firstLine="480"/>
        <w:jc w:val="left"/>
        <w:rPr>
          <w:rFonts w:hint="eastAsia" w:ascii="黑体" w:eastAsia="黑体"/>
          <w:b/>
          <w:bCs/>
          <w:u w:val="none"/>
        </w:rPr>
      </w:pPr>
      <w:r>
        <w:rPr>
          <w:rFonts w:hint="eastAsia" w:ascii="宋体" w:hAnsi="宋体"/>
          <w:szCs w:val="24"/>
          <w:u w:val="none"/>
        </w:rPr>
        <w:t>4.完善突出现代物业管理相关岗位的职业能力培养的模块化课程体系。针对本专业所对应的职业岗位需求，以项目任务和工作流程为引领、以岗位需求和职业技能要求为依据，按照职业教育的特点，构建以学生为中心、以“工作任务驱动为导向”，以职场典型的真实任务为主要教学内容，功能相对独立又相互耦合的模块化专业课程体系。</w:t>
      </w:r>
      <w:bookmarkStart w:id="36" w:name="_Toc5191_WPSOffice_Level2"/>
      <w:bookmarkStart w:id="37" w:name="_Toc21868_WPSOffice_Level2"/>
      <w:bookmarkStart w:id="38" w:name="_Toc18704_WPSOffice_Level2"/>
      <w:bookmarkStart w:id="39" w:name="_Toc10171_WPSOffice_Level2"/>
    </w:p>
    <w:p>
      <w:pPr>
        <w:autoSpaceDE w:val="0"/>
        <w:autoSpaceDN w:val="0"/>
        <w:adjustRightInd w:val="0"/>
        <w:ind w:firstLine="482"/>
        <w:jc w:val="center"/>
        <w:rPr>
          <w:rFonts w:hint="eastAsia" w:ascii="黑体" w:eastAsia="黑体"/>
          <w:b/>
          <w:bCs/>
          <w:u w:val="none"/>
        </w:rPr>
      </w:pPr>
    </w:p>
    <w:p>
      <w:pPr>
        <w:autoSpaceDE w:val="0"/>
        <w:autoSpaceDN w:val="0"/>
        <w:adjustRightInd w:val="0"/>
        <w:ind w:firstLine="482"/>
        <w:jc w:val="center"/>
        <w:rPr>
          <w:rFonts w:hint="eastAsia" w:ascii="黑体" w:eastAsia="黑体"/>
          <w:b/>
          <w:bCs/>
          <w:u w:val="none"/>
        </w:rPr>
      </w:pPr>
    </w:p>
    <w:p>
      <w:pPr>
        <w:autoSpaceDE w:val="0"/>
        <w:autoSpaceDN w:val="0"/>
        <w:adjustRightInd w:val="0"/>
        <w:ind w:firstLine="482"/>
        <w:jc w:val="center"/>
        <w:rPr>
          <w:rFonts w:hint="eastAsia" w:ascii="黑体" w:hAnsi="宋体" w:eastAsia="黑体" w:cs="宋体"/>
          <w:b/>
          <w:bCs/>
          <w:kern w:val="0"/>
          <w:szCs w:val="21"/>
          <w:u w:val="none"/>
        </w:rPr>
      </w:pPr>
      <w:r>
        <w:rPr>
          <w:rFonts w:hint="eastAsia" w:ascii="黑体" w:eastAsia="黑体"/>
          <w:b/>
          <w:bCs/>
          <w:u w:val="none"/>
        </w:rPr>
        <w:t>表</w:t>
      </w:r>
      <w:r>
        <w:rPr>
          <w:rFonts w:ascii="黑体" w:eastAsia="黑体"/>
          <w:b/>
          <w:bCs/>
          <w:u w:val="none"/>
        </w:rPr>
        <w:t>6</w:t>
      </w:r>
      <w:r>
        <w:rPr>
          <w:rFonts w:hint="eastAsia" w:ascii="黑体" w:eastAsia="黑体"/>
          <w:b/>
          <w:bCs/>
          <w:u w:val="none"/>
        </w:rPr>
        <w:t xml:space="preserve">-1 </w:t>
      </w:r>
      <w:r>
        <w:rPr>
          <w:rFonts w:hint="eastAsia" w:ascii="黑体" w:hAnsi="宋体" w:eastAsia="黑体" w:cs="宋体"/>
          <w:b/>
          <w:bCs/>
          <w:kern w:val="0"/>
          <w:szCs w:val="21"/>
          <w:u w:val="none"/>
        </w:rPr>
        <w:t>安徽审计职业学院现代物业管理专业课程体系表</w:t>
      </w:r>
      <w:bookmarkEnd w:id="35"/>
      <w:bookmarkEnd w:id="36"/>
      <w:bookmarkEnd w:id="37"/>
      <w:bookmarkEnd w:id="38"/>
      <w:bookmarkEnd w:id="39"/>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678"/>
        <w:gridCol w:w="427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firstLineChars="0"/>
              <w:jc w:val="center"/>
              <w:rPr>
                <w:rFonts w:ascii="黑体" w:hAnsi="黑体" w:eastAsia="黑体"/>
                <w:b/>
                <w:szCs w:val="21"/>
                <w:u w:val="none"/>
              </w:rPr>
            </w:pPr>
            <w:r>
              <w:rPr>
                <w:rFonts w:hint="eastAsia" w:ascii="黑体" w:hAnsi="黑体" w:eastAsia="黑体"/>
                <w:b/>
                <w:szCs w:val="21"/>
                <w:u w:val="none"/>
              </w:rPr>
              <w:t>序号</w:t>
            </w:r>
          </w:p>
        </w:tc>
        <w:tc>
          <w:tcPr>
            <w:tcW w:w="1678" w:type="dxa"/>
            <w:tcBorders>
              <w:top w:val="single" w:color="auto" w:sz="4" w:space="0"/>
              <w:left w:val="single" w:color="auto" w:sz="4" w:space="0"/>
              <w:bottom w:val="single" w:color="auto" w:sz="4" w:space="0"/>
              <w:right w:val="single" w:color="auto" w:sz="4" w:space="0"/>
            </w:tcBorders>
            <w:noWrap w:val="0"/>
            <w:vAlign w:val="top"/>
          </w:tcPr>
          <w:p>
            <w:pPr>
              <w:adjustRightInd w:val="0"/>
              <w:ind w:firstLine="0" w:firstLineChars="0"/>
              <w:jc w:val="center"/>
              <w:rPr>
                <w:rFonts w:hint="eastAsia" w:ascii="黑体" w:hAnsi="黑体" w:eastAsia="黑体"/>
                <w:b/>
                <w:szCs w:val="21"/>
                <w:u w:val="none"/>
              </w:rPr>
            </w:pPr>
            <w:r>
              <w:rPr>
                <w:rFonts w:hint="eastAsia" w:ascii="黑体" w:hAnsi="黑体" w:eastAsia="黑体"/>
                <w:b/>
                <w:szCs w:val="21"/>
                <w:u w:val="none"/>
              </w:rPr>
              <w:t>课程类型</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firstLineChars="0"/>
              <w:jc w:val="center"/>
              <w:rPr>
                <w:rFonts w:hint="eastAsia" w:ascii="黑体" w:hAnsi="黑体" w:eastAsia="黑体"/>
                <w:b/>
                <w:szCs w:val="21"/>
                <w:u w:val="none"/>
              </w:rPr>
            </w:pPr>
            <w:r>
              <w:rPr>
                <w:rFonts w:hint="eastAsia" w:ascii="黑体" w:hAnsi="黑体" w:eastAsia="黑体"/>
                <w:b/>
                <w:szCs w:val="21"/>
                <w:u w:val="none"/>
              </w:rPr>
              <w:t>课程名称</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firstLineChars="0"/>
              <w:jc w:val="center"/>
              <w:rPr>
                <w:rFonts w:hint="eastAsia" w:ascii="黑体" w:hAnsi="黑体" w:eastAsia="黑体"/>
                <w:b/>
                <w:szCs w:val="21"/>
                <w:u w:val="none"/>
              </w:rPr>
            </w:pPr>
            <w:r>
              <w:rPr>
                <w:rFonts w:hint="eastAsia" w:ascii="黑体" w:hAnsi="黑体" w:eastAsia="黑体"/>
                <w:b/>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restart"/>
            <w:tcBorders>
              <w:top w:val="single" w:color="auto" w:sz="4" w:space="0"/>
              <w:left w:val="single" w:color="auto" w:sz="4" w:space="0"/>
              <w:right w:val="single" w:color="auto" w:sz="4" w:space="0"/>
            </w:tcBorders>
            <w:noWrap w:val="0"/>
            <w:vAlign w:val="center"/>
          </w:tcPr>
          <w:p>
            <w:pPr>
              <w:adjustRightInd w:val="0"/>
              <w:ind w:firstLine="0" w:firstLineChars="0"/>
              <w:jc w:val="center"/>
              <w:rPr>
                <w:rFonts w:ascii="仿宋" w:hAnsi="仿宋" w:eastAsia="仿宋"/>
                <w:b/>
                <w:szCs w:val="21"/>
                <w:u w:val="none"/>
              </w:rPr>
            </w:pPr>
            <w:r>
              <w:rPr>
                <w:rFonts w:hint="eastAsia" w:ascii="仿宋" w:hAnsi="仿宋" w:eastAsia="仿宋"/>
                <w:b/>
                <w:szCs w:val="21"/>
                <w:u w:val="none"/>
              </w:rPr>
              <w:t>1</w:t>
            </w:r>
          </w:p>
          <w:p>
            <w:pPr>
              <w:adjustRightInd w:val="0"/>
              <w:ind w:firstLine="0" w:firstLineChars="0"/>
              <w:jc w:val="center"/>
              <w:rPr>
                <w:rFonts w:hint="eastAsia" w:ascii="仿宋" w:hAnsi="仿宋" w:eastAsia="仿宋"/>
                <w:b/>
                <w:szCs w:val="21"/>
                <w:u w:val="none"/>
              </w:rPr>
            </w:pPr>
          </w:p>
        </w:tc>
        <w:tc>
          <w:tcPr>
            <w:tcW w:w="1678"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eastAsia" w:ascii="仿宋" w:hAnsi="仿宋" w:eastAsia="仿宋" w:cs="宋体"/>
                <w:b/>
                <w:bCs/>
                <w:kern w:val="0"/>
                <w:szCs w:val="21"/>
                <w:u w:val="none"/>
              </w:rPr>
            </w:pPr>
            <w:r>
              <w:rPr>
                <w:rFonts w:hint="eastAsia" w:ascii="黑体" w:hAnsi="黑体" w:eastAsia="黑体" w:cs="黑体"/>
                <w:b/>
                <w:bCs/>
                <w:u w:val="none"/>
              </w:rPr>
              <w:t>公共基础课程</w:t>
            </w:r>
          </w:p>
          <w:p>
            <w:pPr>
              <w:spacing w:line="240" w:lineRule="exact"/>
              <w:ind w:firstLine="0" w:firstLineChars="0"/>
              <w:jc w:val="center"/>
              <w:rPr>
                <w:rFonts w:hint="eastAsia" w:ascii="仿宋" w:hAnsi="仿宋" w:eastAsia="仿宋"/>
                <w:b/>
                <w:bCs/>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（1）思想道德与法治</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auto"/>
              <w:ind w:firstLine="0" w:firstLineChars="0"/>
              <w:rPr>
                <w:rFonts w:hint="eastAsia" w:ascii="宋体" w:hAnsi="宋体" w:cs="宋体"/>
                <w:kern w:val="0"/>
                <w:sz w:val="18"/>
                <w:szCs w:val="18"/>
                <w:u w:val="none"/>
              </w:rPr>
            </w:pPr>
            <w:r>
              <w:rPr>
                <w:rFonts w:hint="eastAsia" w:ascii="宋体" w:hAnsi="宋体" w:cs="宋体"/>
                <w:kern w:val="0"/>
                <w:sz w:val="18"/>
                <w:szCs w:val="18"/>
                <w:u w:val="none"/>
              </w:rPr>
              <w:t>（2）毛泽东思想和中国特色社会主义理论体系概论</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仿宋" w:hAnsi="仿宋" w:eastAsia="仿宋" w:cs="宋体"/>
                <w:kern w:val="0"/>
                <w:szCs w:val="21"/>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eastAsia" w:ascii="宋体" w:hAnsi="宋体" w:eastAsia="宋体" w:cs="宋体"/>
                <w:kern w:val="0"/>
                <w:sz w:val="18"/>
                <w:szCs w:val="18"/>
                <w:u w:val="none"/>
                <w:lang w:val="en-US" w:eastAsia="zh-CN" w:bidi="ar-SA"/>
              </w:rPr>
            </w:pPr>
            <w:r>
              <w:rPr>
                <w:rFonts w:hint="eastAsia" w:ascii="宋体" w:hAnsi="宋体" w:cs="宋体"/>
                <w:kern w:val="0"/>
                <w:sz w:val="18"/>
                <w:szCs w:val="18"/>
                <w:u w:val="none"/>
                <w:lang w:val="en-US" w:eastAsia="zh-CN"/>
              </w:rPr>
              <w:t>（3）习近平新时代中国特色社会主义思想概论</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eastAsia" w:ascii="宋体" w:hAnsi="宋体" w:eastAsia="宋体" w:cs="宋体"/>
                <w:kern w:val="0"/>
                <w:sz w:val="18"/>
                <w:szCs w:val="18"/>
                <w:u w:val="none"/>
                <w:lang w:val="en-US" w:eastAsia="zh-CN" w:bidi="ar-SA"/>
              </w:rPr>
            </w:pPr>
            <w:r>
              <w:rPr>
                <w:rFonts w:hint="eastAsia" w:ascii="宋体" w:hAnsi="宋体" w:cs="宋体"/>
                <w:kern w:val="0"/>
                <w:sz w:val="18"/>
                <w:szCs w:val="18"/>
                <w:u w:val="none"/>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（4）形势与政策</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仿宋" w:hAnsi="仿宋" w:eastAsia="仿宋" w:cs="宋体"/>
                <w:kern w:val="0"/>
                <w:szCs w:val="21"/>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（5）党史国史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（6）军事理论</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（7）军事技能</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（8）心理健康教育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eastAsia="宋体" w:cs="宋体"/>
                <w:kern w:val="0"/>
                <w:sz w:val="18"/>
                <w:szCs w:val="18"/>
                <w:u w:val="none"/>
                <w:lang w:val="en-US" w:eastAsia="zh-CN"/>
              </w:rPr>
            </w:pPr>
            <w:r>
              <w:rPr>
                <w:rFonts w:hint="eastAsia" w:ascii="宋体" w:hAnsi="宋体" w:cs="宋体"/>
                <w:kern w:val="0"/>
                <w:sz w:val="18"/>
                <w:szCs w:val="18"/>
                <w:u w:val="none"/>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（9）职业发展与就业指导</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w:t>
            </w:r>
            <w:r>
              <w:rPr>
                <w:rFonts w:hint="eastAsia" w:ascii="宋体" w:hAnsi="宋体"/>
                <w:sz w:val="18"/>
                <w:szCs w:val="18"/>
                <w:u w:val="none"/>
              </w:rPr>
              <w:t>1</w:t>
            </w:r>
            <w:r>
              <w:rPr>
                <w:rFonts w:ascii="宋体" w:hAnsi="宋体"/>
                <w:sz w:val="18"/>
                <w:szCs w:val="18"/>
                <w:u w:val="none"/>
              </w:rPr>
              <w:t>0</w:t>
            </w:r>
            <w:r>
              <w:rPr>
                <w:rFonts w:hint="eastAsia" w:ascii="宋体" w:hAnsi="宋体" w:cs="宋体"/>
                <w:kern w:val="0"/>
                <w:sz w:val="18"/>
                <w:szCs w:val="18"/>
                <w:u w:val="none"/>
              </w:rPr>
              <w:t>）高等数学</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sz w:val="18"/>
                <w:szCs w:val="18"/>
                <w:u w:val="none"/>
              </w:rPr>
              <w:t>（</w:t>
            </w:r>
            <w:r>
              <w:rPr>
                <w:rFonts w:hint="eastAsia" w:ascii="宋体" w:hAnsi="宋体" w:cs="宋体"/>
                <w:kern w:val="0"/>
                <w:sz w:val="18"/>
                <w:szCs w:val="18"/>
                <w:u w:val="none"/>
              </w:rPr>
              <w:t>1</w:t>
            </w:r>
            <w:r>
              <w:rPr>
                <w:rFonts w:ascii="宋体" w:hAnsi="宋体" w:cs="宋体"/>
                <w:kern w:val="0"/>
                <w:sz w:val="18"/>
                <w:szCs w:val="18"/>
                <w:u w:val="none"/>
              </w:rPr>
              <w:t>1</w:t>
            </w:r>
            <w:r>
              <w:rPr>
                <w:rFonts w:hint="eastAsia" w:ascii="宋体" w:hAnsi="宋体"/>
                <w:sz w:val="18"/>
                <w:szCs w:val="18"/>
                <w:u w:val="none"/>
              </w:rPr>
              <w:t>）英语</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w:t>
            </w:r>
            <w:r>
              <w:rPr>
                <w:rFonts w:ascii="宋体" w:hAnsi="宋体" w:cs="宋体"/>
                <w:kern w:val="0"/>
                <w:sz w:val="18"/>
                <w:szCs w:val="18"/>
                <w:u w:val="none"/>
              </w:rPr>
              <w:t>2</w:t>
            </w:r>
            <w:r>
              <w:rPr>
                <w:rFonts w:hint="eastAsia" w:ascii="宋体" w:hAnsi="宋体" w:cs="宋体"/>
                <w:kern w:val="0"/>
                <w:sz w:val="18"/>
                <w:szCs w:val="18"/>
                <w:u w:val="none"/>
              </w:rPr>
              <w:t>）信息技术基础</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（13）体育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（14）大学语文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u w:val="none"/>
              </w:rPr>
            </w:pPr>
            <w:r>
              <w:rPr>
                <w:rFonts w:hint="eastAsia" w:ascii="宋体" w:hAnsi="宋体" w:cs="宋体"/>
                <w:kern w:val="0"/>
                <w:sz w:val="18"/>
                <w:szCs w:val="18"/>
                <w:u w:val="none"/>
              </w:rPr>
              <w:t>（15）建筑美学鉴赏</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（16）劳动教育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（17）大学生国家安全教育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w:t>
            </w:r>
            <w:r>
              <w:rPr>
                <w:rFonts w:ascii="宋体" w:hAnsi="宋体" w:cs="宋体"/>
                <w:kern w:val="0"/>
                <w:sz w:val="18"/>
                <w:szCs w:val="18"/>
                <w:u w:val="none"/>
              </w:rPr>
              <w:t>1</w:t>
            </w:r>
            <w:r>
              <w:rPr>
                <w:rFonts w:hint="eastAsia" w:ascii="宋体" w:hAnsi="宋体" w:cs="宋体"/>
                <w:kern w:val="0"/>
                <w:sz w:val="18"/>
                <w:szCs w:val="18"/>
                <w:u w:val="none"/>
              </w:rPr>
              <w:t>8）大学生创新基础</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（19）大学生防艾健康教育</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2"/>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w:t>
            </w:r>
            <w:r>
              <w:rPr>
                <w:rFonts w:hint="eastAsia" w:ascii="宋体" w:hAnsi="宋体" w:cs="宋体"/>
                <w:kern w:val="0"/>
                <w:sz w:val="18"/>
                <w:szCs w:val="18"/>
                <w:u w:val="none"/>
                <w:lang w:val="en-US" w:eastAsia="zh-CN"/>
              </w:rPr>
              <w:t>20</w:t>
            </w:r>
            <w:r>
              <w:rPr>
                <w:rFonts w:hint="eastAsia" w:ascii="宋体" w:hAnsi="宋体" w:cs="宋体"/>
                <w:kern w:val="0"/>
                <w:sz w:val="18"/>
                <w:szCs w:val="18"/>
                <w:u w:val="none"/>
              </w:rPr>
              <w:t>）大学生创业基础</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restart"/>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
                <w:szCs w:val="21"/>
                <w:u w:val="none"/>
              </w:rPr>
            </w:pPr>
            <w:r>
              <w:rPr>
                <w:rFonts w:hint="eastAsia" w:ascii="仿宋" w:hAnsi="仿宋" w:eastAsia="仿宋"/>
                <w:b/>
                <w:szCs w:val="21"/>
                <w:u w:val="none"/>
              </w:rPr>
              <w:t>2</w:t>
            </w:r>
          </w:p>
        </w:tc>
        <w:tc>
          <w:tcPr>
            <w:tcW w:w="1678" w:type="dxa"/>
            <w:vMerge w:val="restart"/>
            <w:tcBorders>
              <w:left w:val="single" w:color="auto" w:sz="4" w:space="0"/>
              <w:right w:val="single" w:color="auto" w:sz="4" w:space="0"/>
            </w:tcBorders>
            <w:noWrap w:val="0"/>
            <w:vAlign w:val="center"/>
          </w:tcPr>
          <w:p>
            <w:pPr>
              <w:adjustRightInd w:val="0"/>
              <w:spacing w:line="240" w:lineRule="exact"/>
              <w:ind w:firstLine="0" w:firstLineChars="0"/>
              <w:jc w:val="center"/>
              <w:rPr>
                <w:rFonts w:hint="eastAsia" w:ascii="仿宋" w:hAnsi="仿宋" w:eastAsia="仿宋"/>
                <w:szCs w:val="21"/>
                <w:u w:val="none"/>
              </w:rPr>
            </w:pPr>
            <w:r>
              <w:rPr>
                <w:rFonts w:hint="eastAsia" w:ascii="黑体" w:hAnsi="黑体" w:eastAsia="黑体" w:cs="黑体"/>
                <w:b/>
                <w:bCs/>
                <w:kern w:val="0"/>
                <w:szCs w:val="21"/>
                <w:u w:val="none"/>
              </w:rPr>
              <w:t>专业基础课</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（1）建筑制图与识图</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
                <w:szCs w:val="21"/>
                <w:u w:val="none"/>
              </w:rPr>
            </w:pPr>
          </w:p>
        </w:tc>
        <w:tc>
          <w:tcPr>
            <w:tcW w:w="1678" w:type="dxa"/>
            <w:vMerge w:val="continue"/>
            <w:tcBorders>
              <w:left w:val="single" w:color="auto" w:sz="4" w:space="0"/>
              <w:right w:val="single" w:color="auto" w:sz="4" w:space="0"/>
            </w:tcBorders>
            <w:noWrap w:val="0"/>
            <w:vAlign w:val="center"/>
          </w:tcPr>
          <w:p>
            <w:pPr>
              <w:adjustRightInd w:val="0"/>
              <w:ind w:firstLine="0" w:firstLineChars="0"/>
              <w:jc w:val="center"/>
              <w:rPr>
                <w:rFonts w:hint="eastAsia" w:ascii="仿宋" w:hAnsi="仿宋" w:eastAsia="仿宋" w:cs="宋体"/>
                <w:b/>
                <w:bCs/>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（2）建筑材料</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（3）房屋建筑学</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（4）基础会计</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（5）管理基础</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（6）统计基础</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（7）建筑CAD</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Cs/>
                <w:szCs w:val="21"/>
                <w:u w:val="none"/>
              </w:rPr>
            </w:pPr>
          </w:p>
        </w:tc>
        <w:tc>
          <w:tcPr>
            <w:tcW w:w="1678" w:type="dxa"/>
            <w:vMerge w:val="continue"/>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（8）工程经济学</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restart"/>
            <w:tcBorders>
              <w:left w:val="single" w:color="auto" w:sz="4" w:space="0"/>
              <w:right w:val="single" w:color="auto" w:sz="4" w:space="0"/>
            </w:tcBorders>
            <w:noWrap w:val="0"/>
            <w:vAlign w:val="center"/>
          </w:tcPr>
          <w:p>
            <w:pPr>
              <w:widowControl/>
              <w:adjustRightInd w:val="0"/>
              <w:ind w:firstLine="0" w:firstLineChars="0"/>
              <w:jc w:val="center"/>
              <w:rPr>
                <w:rFonts w:ascii="仿宋" w:hAnsi="仿宋" w:eastAsia="仿宋"/>
                <w:b/>
                <w:szCs w:val="21"/>
                <w:u w:val="none"/>
              </w:rPr>
            </w:pPr>
            <w:r>
              <w:rPr>
                <w:rFonts w:hint="eastAsia" w:ascii="仿宋" w:hAnsi="仿宋" w:eastAsia="仿宋"/>
                <w:b/>
                <w:szCs w:val="21"/>
                <w:u w:val="none"/>
              </w:rPr>
              <w:t>3</w:t>
            </w:r>
          </w:p>
        </w:tc>
        <w:tc>
          <w:tcPr>
            <w:tcW w:w="1678" w:type="dxa"/>
            <w:vMerge w:val="restart"/>
            <w:tcBorders>
              <w:left w:val="single" w:color="auto" w:sz="4" w:space="0"/>
              <w:right w:val="single" w:color="auto" w:sz="4" w:space="0"/>
            </w:tcBorders>
            <w:noWrap w:val="0"/>
            <w:vAlign w:val="center"/>
          </w:tcPr>
          <w:p>
            <w:pPr>
              <w:adjustRightInd w:val="0"/>
              <w:spacing w:line="240" w:lineRule="exact"/>
              <w:ind w:firstLine="0" w:firstLineChars="0"/>
              <w:jc w:val="center"/>
              <w:rPr>
                <w:rFonts w:hint="eastAsia" w:ascii="仿宋" w:hAnsi="仿宋" w:eastAsia="仿宋" w:cs="宋体"/>
                <w:b/>
                <w:bCs/>
                <w:kern w:val="0"/>
                <w:szCs w:val="21"/>
                <w:u w:val="none"/>
              </w:rPr>
            </w:pPr>
            <w:r>
              <w:rPr>
                <w:rFonts w:hint="eastAsia" w:ascii="黑体" w:hAnsi="黑体" w:eastAsia="黑体" w:cs="黑体"/>
                <w:b/>
                <w:bCs/>
                <w:kern w:val="0"/>
                <w:szCs w:val="21"/>
                <w:u w:val="none"/>
              </w:rPr>
              <w:t>专业核心课</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（1）建设法规</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（2）</w:t>
            </w:r>
            <w:r>
              <w:rPr>
                <w:rFonts w:hint="eastAsia" w:ascii="宋体" w:hAnsi="宋体" w:cs="宋体"/>
                <w:bCs/>
                <w:kern w:val="0"/>
                <w:sz w:val="18"/>
                <w:szCs w:val="18"/>
                <w:u w:val="none"/>
              </w:rPr>
              <w:t>房地产营销与策划</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（3）</w:t>
            </w:r>
            <w:r>
              <w:rPr>
                <w:rFonts w:hint="eastAsia" w:ascii="宋体" w:hAnsi="宋体" w:cs="宋体"/>
                <w:bCs/>
                <w:kern w:val="0"/>
                <w:sz w:val="18"/>
                <w:szCs w:val="18"/>
                <w:u w:val="none"/>
              </w:rPr>
              <w:t>物业管理理论与实务</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hint="eastAsia"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（4）</w:t>
            </w:r>
            <w:r>
              <w:rPr>
                <w:rFonts w:hint="eastAsia" w:ascii="宋体" w:hAnsi="宋体" w:cs="宋体"/>
                <w:bCs/>
                <w:kern w:val="0"/>
                <w:sz w:val="18"/>
                <w:szCs w:val="18"/>
                <w:u w:val="none"/>
              </w:rPr>
              <w:t>房地产开发与经营</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（5）</w:t>
            </w:r>
            <w:r>
              <w:rPr>
                <w:rFonts w:hint="eastAsia" w:ascii="宋体" w:hAnsi="宋体" w:cs="宋体"/>
                <w:bCs/>
                <w:kern w:val="0"/>
                <w:sz w:val="18"/>
                <w:szCs w:val="18"/>
                <w:u w:val="none"/>
              </w:rPr>
              <w:t>物业设备与维护</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（6）</w:t>
            </w:r>
            <w:r>
              <w:rPr>
                <w:rFonts w:hint="eastAsia" w:ascii="宋体" w:hAnsi="宋体" w:cs="宋体"/>
                <w:bCs/>
                <w:kern w:val="0"/>
                <w:sz w:val="18"/>
                <w:szCs w:val="18"/>
                <w:u w:val="none"/>
              </w:rPr>
              <w:t>房地产估价</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b/>
                <w:kern w:val="0"/>
                <w:sz w:val="18"/>
                <w:szCs w:val="18"/>
                <w:u w:val="none"/>
              </w:rPr>
            </w:pPr>
            <w:r>
              <w:rPr>
                <w:rFonts w:hint="eastAsia" w:ascii="宋体" w:hAnsi="宋体" w:cs="宋体"/>
                <w:b/>
                <w:kern w:val="0"/>
                <w:sz w:val="18"/>
                <w:szCs w:val="18"/>
                <w:u w:val="none"/>
              </w:rPr>
              <w:t>必修、专业核心课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restart"/>
            <w:tcBorders>
              <w:left w:val="single" w:color="auto" w:sz="4" w:space="0"/>
              <w:right w:val="single" w:color="auto" w:sz="4" w:space="0"/>
            </w:tcBorders>
            <w:noWrap w:val="0"/>
            <w:vAlign w:val="center"/>
          </w:tcPr>
          <w:p>
            <w:pPr>
              <w:widowControl/>
              <w:adjustRightInd w:val="0"/>
              <w:ind w:firstLine="0" w:firstLineChars="0"/>
              <w:jc w:val="center"/>
              <w:rPr>
                <w:rFonts w:hint="eastAsia" w:ascii="仿宋" w:hAnsi="仿宋" w:eastAsia="仿宋"/>
                <w:b/>
                <w:szCs w:val="21"/>
                <w:u w:val="none"/>
              </w:rPr>
            </w:pPr>
            <w:r>
              <w:rPr>
                <w:rFonts w:hint="eastAsia" w:ascii="仿宋" w:hAnsi="仿宋" w:eastAsia="仿宋"/>
                <w:b/>
                <w:szCs w:val="21"/>
                <w:u w:val="none"/>
              </w:rPr>
              <w:t>4</w:t>
            </w:r>
          </w:p>
        </w:tc>
        <w:tc>
          <w:tcPr>
            <w:tcW w:w="1678" w:type="dxa"/>
            <w:vMerge w:val="restart"/>
            <w:tcBorders>
              <w:left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宋体"/>
                <w:kern w:val="0"/>
                <w:szCs w:val="21"/>
                <w:u w:val="none"/>
              </w:rPr>
            </w:pPr>
            <w:r>
              <w:rPr>
                <w:rFonts w:hint="eastAsia" w:ascii="黑体" w:hAnsi="黑体" w:eastAsia="黑体" w:cs="黑体"/>
                <w:b/>
                <w:bCs/>
                <w:kern w:val="0"/>
                <w:sz w:val="21"/>
                <w:szCs w:val="21"/>
                <w:u w:val="none"/>
              </w:rPr>
              <w:t>专业拓展（实践）课</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（1）</w:t>
            </w:r>
            <w:r>
              <w:rPr>
                <w:rFonts w:hint="eastAsia" w:ascii="宋体" w:hAnsi="宋体" w:cs="宋体"/>
                <w:bCs/>
                <w:kern w:val="0"/>
                <w:sz w:val="18"/>
                <w:szCs w:val="18"/>
                <w:u w:val="none"/>
              </w:rPr>
              <w:t>混凝土结构施工图平法识图</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（2）</w:t>
            </w:r>
            <w:r>
              <w:rPr>
                <w:rFonts w:hint="eastAsia" w:ascii="宋体" w:hAnsi="宋体" w:cs="宋体"/>
                <w:bCs/>
                <w:kern w:val="0"/>
                <w:sz w:val="18"/>
                <w:szCs w:val="18"/>
                <w:u w:val="none"/>
              </w:rPr>
              <w:t>房地产开发与经营实训</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（3）</w:t>
            </w:r>
            <w:r>
              <w:rPr>
                <w:rFonts w:hint="eastAsia" w:ascii="宋体" w:hAnsi="宋体" w:cs="宋体"/>
                <w:bCs/>
                <w:kern w:val="0"/>
                <w:sz w:val="18"/>
                <w:szCs w:val="18"/>
                <w:u w:val="none"/>
              </w:rPr>
              <w:t>小区智能化管理</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ascii="宋体" w:hAnsi="宋体" w:cs="宋体"/>
                <w:kern w:val="0"/>
                <w:sz w:val="18"/>
                <w:szCs w:val="18"/>
                <w:u w:val="none"/>
              </w:rPr>
            </w:pPr>
            <w:r>
              <w:rPr>
                <w:rFonts w:hint="eastAsia" w:ascii="宋体" w:hAnsi="宋体" w:cs="宋体"/>
                <w:kern w:val="0"/>
                <w:sz w:val="18"/>
                <w:szCs w:val="18"/>
                <w:u w:val="none"/>
              </w:rPr>
              <w:t>（4）应用文写作</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（5）</w:t>
            </w:r>
            <w:r>
              <w:rPr>
                <w:rFonts w:hint="eastAsia" w:ascii="宋体" w:hAnsi="宋体" w:cs="宋体"/>
                <w:bCs/>
                <w:kern w:val="0"/>
                <w:sz w:val="18"/>
                <w:szCs w:val="18"/>
                <w:u w:val="none"/>
              </w:rPr>
              <w:t>物业模拟实训</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cs="宋体"/>
                <w:kern w:val="0"/>
                <w:sz w:val="18"/>
                <w:szCs w:val="18"/>
                <w:u w:val="none"/>
              </w:rPr>
            </w:pPr>
            <w:r>
              <w:rPr>
                <w:rFonts w:hint="eastAsia" w:ascii="宋体" w:hAnsi="宋体" w:cs="宋体"/>
                <w:kern w:val="0"/>
                <w:sz w:val="18"/>
                <w:szCs w:val="18"/>
                <w:u w:val="none"/>
              </w:rPr>
              <w:t>（6）</w:t>
            </w:r>
            <w:r>
              <w:rPr>
                <w:rFonts w:hint="eastAsia" w:ascii="宋体" w:hAnsi="宋体" w:cs="宋体"/>
                <w:bCs/>
                <w:kern w:val="0"/>
                <w:sz w:val="18"/>
                <w:szCs w:val="18"/>
                <w:u w:val="none"/>
              </w:rPr>
              <w:t>公共关系与商务礼仪</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eastAsia" w:ascii="宋体" w:hAnsi="宋体" w:eastAsia="宋体" w:cs="宋体"/>
                <w:kern w:val="0"/>
                <w:sz w:val="18"/>
                <w:szCs w:val="18"/>
                <w:u w:val="none"/>
                <w:lang w:eastAsia="zh-CN"/>
              </w:rPr>
            </w:pPr>
            <w:r>
              <w:rPr>
                <w:rFonts w:hint="eastAsia" w:ascii="宋体" w:hAnsi="宋体" w:cs="宋体"/>
                <w:kern w:val="0"/>
                <w:sz w:val="18"/>
                <w:szCs w:val="18"/>
                <w:u w:val="none"/>
                <w:lang w:eastAsia="zh-CN"/>
              </w:rPr>
              <w:t>（</w:t>
            </w:r>
            <w:r>
              <w:rPr>
                <w:rFonts w:hint="eastAsia" w:ascii="宋体" w:hAnsi="宋体" w:cs="宋体"/>
                <w:kern w:val="0"/>
                <w:sz w:val="18"/>
                <w:szCs w:val="18"/>
                <w:u w:val="none"/>
                <w:lang w:val="en-US" w:eastAsia="zh-CN"/>
              </w:rPr>
              <w:t>7</w:t>
            </w:r>
            <w:r>
              <w:rPr>
                <w:rFonts w:hint="eastAsia" w:ascii="宋体" w:hAnsi="宋体" w:cs="宋体"/>
                <w:kern w:val="0"/>
                <w:sz w:val="18"/>
                <w:szCs w:val="18"/>
                <w:u w:val="none"/>
                <w:lang w:eastAsia="zh-CN"/>
              </w:rPr>
              <w:t>）建设工程造价管理与投资审计</w:t>
            </w:r>
          </w:p>
        </w:tc>
        <w:tc>
          <w:tcPr>
            <w:tcW w:w="158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36"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1678" w:type="dxa"/>
            <w:vMerge w:val="continue"/>
            <w:tcBorders>
              <w:left w:val="single" w:color="auto" w:sz="4" w:space="0"/>
              <w:right w:val="single" w:color="auto" w:sz="4" w:space="0"/>
            </w:tcBorders>
            <w:noWrap w:val="0"/>
            <w:vAlign w:val="center"/>
          </w:tcPr>
          <w:p>
            <w:pPr>
              <w:widowControl/>
              <w:ind w:firstLine="480"/>
              <w:rPr>
                <w:rFonts w:hint="eastAsia" w:ascii="仿宋" w:hAnsi="仿宋" w:eastAsia="仿宋" w:cs="宋体"/>
                <w:kern w:val="0"/>
                <w:szCs w:val="21"/>
                <w:u w:val="none"/>
              </w:rPr>
            </w:pPr>
          </w:p>
        </w:tc>
        <w:tc>
          <w:tcPr>
            <w:tcW w:w="4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jc w:val="left"/>
              <w:rPr>
                <w:rFonts w:hint="default" w:ascii="宋体" w:hAnsi="宋体" w:eastAsia="宋体" w:cs="宋体"/>
                <w:kern w:val="0"/>
                <w:sz w:val="18"/>
                <w:szCs w:val="18"/>
                <w:u w:val="none"/>
                <w:lang w:val="en-US" w:eastAsia="zh-CN"/>
              </w:rPr>
            </w:pPr>
            <w:r>
              <w:rPr>
                <w:rFonts w:hint="eastAsia" w:ascii="宋体" w:hAnsi="宋体" w:cs="宋体"/>
                <w:kern w:val="0"/>
                <w:sz w:val="18"/>
                <w:szCs w:val="18"/>
                <w:u w:val="none"/>
              </w:rPr>
              <w:t>（</w:t>
            </w:r>
            <w:r>
              <w:rPr>
                <w:rFonts w:hint="eastAsia" w:ascii="宋体" w:hAnsi="宋体" w:cs="宋体"/>
                <w:kern w:val="0"/>
                <w:sz w:val="18"/>
                <w:szCs w:val="18"/>
                <w:u w:val="none"/>
                <w:lang w:val="en-US" w:eastAsia="zh-CN"/>
              </w:rPr>
              <w:t>8</w:t>
            </w:r>
            <w:r>
              <w:rPr>
                <w:rFonts w:hint="eastAsia" w:ascii="宋体" w:hAnsi="宋体" w:cs="宋体"/>
                <w:kern w:val="0"/>
                <w:sz w:val="18"/>
                <w:szCs w:val="18"/>
                <w:u w:val="none"/>
              </w:rPr>
              <w:t>）</w:t>
            </w:r>
            <w:r>
              <w:rPr>
                <w:rFonts w:hint="eastAsia" w:ascii="宋体" w:hAnsi="宋体" w:cs="宋体"/>
                <w:kern w:val="0"/>
                <w:sz w:val="18"/>
                <w:szCs w:val="18"/>
                <w:u w:val="none"/>
                <w:lang w:val="en-US" w:eastAsia="zh-CN"/>
              </w:rPr>
              <w:t>岗位实习</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40" w:lineRule="exact"/>
              <w:ind w:firstLine="0" w:firstLineChars="0"/>
              <w:rPr>
                <w:rFonts w:hint="eastAsia" w:ascii="宋体" w:hAnsi="宋体" w:cs="宋体"/>
                <w:kern w:val="0"/>
                <w:sz w:val="18"/>
                <w:szCs w:val="18"/>
                <w:u w:val="none"/>
              </w:rPr>
            </w:pPr>
            <w:r>
              <w:rPr>
                <w:rFonts w:hint="eastAsia" w:ascii="宋体" w:hAnsi="宋体" w:cs="宋体"/>
                <w:kern w:val="0"/>
                <w:sz w:val="18"/>
                <w:szCs w:val="18"/>
                <w:u w:val="none"/>
              </w:rPr>
              <w:t>限定选修</w:t>
            </w:r>
          </w:p>
        </w:tc>
      </w:tr>
    </w:tbl>
    <w:p>
      <w:pPr>
        <w:pStyle w:val="4"/>
        <w:ind w:firstLine="482"/>
        <w:rPr>
          <w:rFonts w:hint="eastAsia"/>
          <w:u w:val="none"/>
        </w:rPr>
      </w:pPr>
      <w:bookmarkStart w:id="40" w:name="_Toc25577"/>
      <w:r>
        <w:rPr>
          <w:rFonts w:hint="eastAsia"/>
          <w:u w:val="none"/>
        </w:rPr>
        <w:t>（二）课程设置</w:t>
      </w:r>
      <w:bookmarkEnd w:id="40"/>
    </w:p>
    <w:p>
      <w:pPr>
        <w:ind w:firstLine="482"/>
        <w:outlineLvl w:val="3"/>
        <w:rPr>
          <w:rFonts w:hint="eastAsia" w:ascii="楷体" w:hAnsi="楷体" w:eastAsia="楷体" w:cs="楷体"/>
          <w:b/>
          <w:szCs w:val="24"/>
          <w:u w:val="none"/>
        </w:rPr>
      </w:pPr>
      <w:bookmarkStart w:id="41" w:name="_Toc16851807"/>
      <w:bookmarkStart w:id="42" w:name="_Toc16853290"/>
      <w:r>
        <w:rPr>
          <w:rFonts w:hint="eastAsia" w:ascii="楷体" w:hAnsi="楷体" w:eastAsia="楷体" w:cs="楷体"/>
          <w:b/>
          <w:szCs w:val="24"/>
          <w:u w:val="none"/>
        </w:rPr>
        <w:t>1.</w:t>
      </w:r>
      <w:bookmarkEnd w:id="41"/>
      <w:bookmarkEnd w:id="42"/>
      <w:r>
        <w:rPr>
          <w:rFonts w:hint="eastAsia" w:ascii="楷体" w:hAnsi="楷体" w:eastAsia="楷体" w:cs="楷体"/>
          <w:b/>
          <w:szCs w:val="24"/>
          <w:u w:val="none"/>
        </w:rPr>
        <w:t>公共基础课程</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（1）思想道德与法治</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本课程是一门公共基础课程，是高等职业学校专科课程设置中“思想政治理论课”必修课程之一。该课程的核心内容是“三观”教育。思想观方面主要阐述：创造有意义的人生、坚定崇高的理想信念、弘扬民族精神和时代精神、践行社会主义核心价值观。道德观方面主要阐述：传承中华传统美德，发扬中国革命道德，借鉴人类文明优秀道德；遵守社会公德、职业道德、家庭道德，养成高尚的个人品德。法治观方面主要阐述：建设中国特色社会主义法治体系，走中国特色社会主义法治道路，培养法治思维，依法行使权利并履行义务。同时，基于学院的办学特色，适当安排一些关于审计核心价值、会计伦理等职业道德教育的相关内容。该课程主要讲授马克思主义的人生观、价值观、道德观、法治观，社会主义核心价值观与社会主义法治建设的关系，帮助学生筑牢理想信念之基，培育和践行社会主义核心价值观，传承中华传统美德，弘扬中国精神，尊重和维护宪法法律权威，提升思想道德素质和法治素养。结合高等职业学校的自身特点，注重加强对学生的职业道德教育。</w:t>
      </w:r>
    </w:p>
    <w:p>
      <w:pPr>
        <w:ind w:firstLine="480"/>
        <w:rPr>
          <w:rFonts w:hint="eastAsia" w:ascii="宋体" w:hAnsi="宋体"/>
          <w:szCs w:val="24"/>
        </w:rPr>
      </w:pPr>
      <w:bookmarkStart w:id="43" w:name="_Toc16853296"/>
      <w:bookmarkStart w:id="44" w:name="_Toc16851813"/>
      <w:r>
        <w:rPr>
          <w:rFonts w:hint="eastAsia"/>
          <w:u w:val="none"/>
          <w:lang w:val="en-US" w:eastAsia="zh-CN"/>
        </w:rPr>
        <w:t>（2）</w:t>
      </w:r>
      <w:r>
        <w:rPr>
          <w:rFonts w:hint="eastAsia" w:ascii="宋体" w:hAnsi="宋体"/>
          <w:szCs w:val="24"/>
        </w:rPr>
        <w:t>毛泽东思想和中国特色社会主义理论体系概论</w:t>
      </w:r>
    </w:p>
    <w:p>
      <w:pPr>
        <w:ind w:firstLine="480"/>
        <w:rPr>
          <w:rFonts w:hint="eastAsia" w:ascii="宋体" w:hAnsi="宋体"/>
          <w:szCs w:val="24"/>
        </w:rPr>
      </w:pPr>
      <w:r>
        <w:rPr>
          <w:rFonts w:hint="eastAsia" w:ascii="宋体" w:hAnsi="宋体"/>
          <w:szCs w:val="24"/>
        </w:rPr>
        <w:t>本课程是一门公共基础课程，是高等职业学校专科课程设置中“思想政治理论课”必修课程之一。该课程的核心内容是</w:t>
      </w:r>
      <w:r>
        <w:rPr>
          <w:rFonts w:hint="eastAsia" w:ascii="宋体" w:hAnsi="宋体"/>
          <w:szCs w:val="24"/>
          <w:lang w:val="en-US" w:eastAsia="zh-CN"/>
        </w:rPr>
        <w:t>两</w:t>
      </w:r>
      <w:r>
        <w:rPr>
          <w:rFonts w:hint="eastAsia" w:ascii="宋体" w:hAnsi="宋体"/>
          <w:szCs w:val="24"/>
        </w:rPr>
        <w:t>大部分：第一部分主要阐述毛泽东思想，涉及毛泽东思想的总体概述、新民主主义革命理论、社会主义改造理论、中国社会主义建设道路初步探索的理论成果；第二部分主要阐述邓小平理论、“三个代表”重要思想、科学发展观各自形成的社会历史条件、形成发展过程、主要内容和历史地位。该课程主要讲授中国共产党把马克思主义基本原理同中国具体实际相结合产生的马克思主义中国化的两大理论成果，帮助学生理解毛泽东思想、邓小平理论、“三个代表”重要思想、科学发展观是一脉相承又与时俱进的科学体系，引导学生深刻理解中国共产党为什么能、马克思主义为什么行、中国特色社会主义为什么好，坚定“四个自信”。</w:t>
      </w:r>
    </w:p>
    <w:p>
      <w:pPr>
        <w:ind w:firstLine="480"/>
        <w:rPr>
          <w:rFonts w:hint="eastAsia" w:ascii="宋体" w:hAnsi="宋体"/>
          <w:szCs w:val="24"/>
          <w:lang w:val="en-US" w:eastAsia="zh-CN"/>
        </w:rPr>
      </w:pPr>
      <w:r>
        <w:rPr>
          <w:rFonts w:hint="eastAsia"/>
          <w:u w:val="none"/>
          <w:lang w:val="en-US" w:eastAsia="zh-CN"/>
        </w:rPr>
        <w:t>（3）</w:t>
      </w:r>
      <w:r>
        <w:rPr>
          <w:rFonts w:hint="eastAsia" w:ascii="宋体" w:hAnsi="宋体"/>
          <w:szCs w:val="24"/>
          <w:lang w:eastAsia="zh-CN"/>
        </w:rPr>
        <w:t>习近平新时代中国特色社会主义思想概论</w:t>
      </w:r>
    </w:p>
    <w:p>
      <w:pPr>
        <w:ind w:firstLine="480"/>
        <w:rPr>
          <w:rFonts w:hint="eastAsia" w:ascii="宋体" w:hAnsi="宋体"/>
          <w:szCs w:val="24"/>
          <w:lang w:val="en-US" w:eastAsia="zh-CN"/>
        </w:rPr>
      </w:pPr>
      <w:r>
        <w:rPr>
          <w:rFonts w:hint="eastAsia" w:ascii="宋体" w:hAnsi="宋体"/>
          <w:szCs w:val="24"/>
          <w:lang w:eastAsia="zh-CN"/>
        </w:rPr>
        <w:t>本课程是一门公共基础课程，是高等学校“思想政治理论课”必修课程之一。习近平新时代中国特色社会主义思想是当代中国马克思主义、二十一世纪马克思主义，是中华文化和中国精神的时代精华，实现了马克思主义中国化新的飞跃。</w:t>
      </w:r>
      <w:r>
        <w:rPr>
          <w:rFonts w:hint="eastAsia" w:ascii="宋体" w:hAnsi="宋体"/>
          <w:szCs w:val="24"/>
          <w:lang w:val="en-US" w:eastAsia="zh-CN"/>
        </w:rPr>
        <w:t>该</w:t>
      </w:r>
      <w:r>
        <w:rPr>
          <w:rFonts w:hint="eastAsia" w:ascii="宋体" w:hAnsi="宋体"/>
          <w:szCs w:val="24"/>
          <w:lang w:eastAsia="zh-CN"/>
        </w:rPr>
        <w:t>课程主要讲授习近平新时代中国特色社会主义思想的基本精神、基本内容、基本要求，帮助学生进一步掌握中国特色社会主义理论体系，深化对习近平新时代中国特色社会主义思想的认识，坚定对马克思主义的信仰、对中国特色社会主义的信念、对实现中华民族伟大复兴中国梦的信心。</w:t>
      </w:r>
    </w:p>
    <w:p>
      <w:pPr>
        <w:ind w:firstLine="480"/>
        <w:rPr>
          <w:rFonts w:hint="eastAsia" w:ascii="宋体" w:hAnsi="宋体"/>
          <w:szCs w:val="24"/>
        </w:rPr>
      </w:pPr>
      <w:r>
        <w:rPr>
          <w:rFonts w:hint="eastAsia" w:ascii="宋体" w:hAnsi="宋体"/>
          <w:szCs w:val="24"/>
          <w:lang w:eastAsia="zh-CN"/>
        </w:rPr>
        <w:t>该课程的主要内容</w:t>
      </w:r>
      <w:r>
        <w:rPr>
          <w:rFonts w:hint="eastAsia" w:ascii="宋体" w:hAnsi="宋体"/>
          <w:szCs w:val="24"/>
          <w:lang w:val="en-US" w:eastAsia="zh-CN"/>
        </w:rPr>
        <w:t>有</w:t>
      </w:r>
      <w:r>
        <w:rPr>
          <w:rFonts w:hint="eastAsia" w:ascii="宋体" w:hAnsi="宋体"/>
          <w:szCs w:val="24"/>
          <w:lang w:eastAsia="zh-CN"/>
        </w:rPr>
        <w:t>十五个方面，分别是：新时代、新思想、新飞跃；坚持党的全面领导、坚持以人民为中心、全面建设社会主义现代化国家、全面深化改革、习近平经济思想、新时代中国特色社会主义政治思想、习近平法治思想、新时代中国特色社会主义文化思想、新时代中国特色社会主义社会建设思想、习近平生态文明思想、</w:t>
      </w:r>
      <w:bookmarkStart w:id="193" w:name="_GoBack"/>
      <w:bookmarkEnd w:id="193"/>
      <w:r>
        <w:rPr>
          <w:rFonts w:hint="eastAsia" w:ascii="宋体" w:hAnsi="宋体"/>
          <w:szCs w:val="24"/>
          <w:lang w:eastAsia="zh-CN"/>
        </w:rPr>
        <w:t xml:space="preserve">新时代坚持和发展中国特色社会主义的重要保障、推动构建人类命运共同体、全面从严治党与自我革命、做担当时代大任的青年。 </w:t>
      </w:r>
    </w:p>
    <w:p>
      <w:pPr>
        <w:ind w:firstLine="480"/>
        <w:rPr>
          <w:rFonts w:hint="eastAsia" w:ascii="宋体" w:hAnsi="宋体"/>
          <w:szCs w:val="24"/>
        </w:rPr>
      </w:pPr>
      <w:r>
        <w:rPr>
          <w:rFonts w:hint="eastAsia"/>
          <w:u w:val="none"/>
          <w:lang w:val="en-US" w:eastAsia="zh-CN"/>
        </w:rPr>
        <w:t>（4）</w:t>
      </w:r>
      <w:r>
        <w:rPr>
          <w:rFonts w:hint="eastAsia" w:ascii="宋体" w:hAnsi="宋体"/>
          <w:szCs w:val="24"/>
        </w:rPr>
        <w:t>形势与政策</w:t>
      </w:r>
    </w:p>
    <w:p>
      <w:pPr>
        <w:ind w:firstLine="480"/>
        <w:rPr>
          <w:rFonts w:hint="eastAsia" w:ascii="宋体" w:hAnsi="宋体"/>
          <w:szCs w:val="24"/>
        </w:rPr>
      </w:pPr>
      <w:r>
        <w:rPr>
          <w:rFonts w:hint="eastAsia" w:ascii="宋体" w:hAnsi="宋体"/>
          <w:szCs w:val="24"/>
        </w:rPr>
        <w:t>本课程是一门公共基础课程，是高等职业学校专科课程设置中“思想政治理论课”必修课程之一。该课程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pPr>
        <w:ind w:firstLine="480"/>
        <w:rPr>
          <w:rFonts w:hint="eastAsia" w:ascii="宋体" w:hAnsi="宋体"/>
          <w:szCs w:val="24"/>
          <w:lang w:eastAsia="zh-CN"/>
        </w:rPr>
      </w:pPr>
      <w:r>
        <w:rPr>
          <w:rFonts w:hint="eastAsia"/>
          <w:u w:val="none"/>
          <w:lang w:val="en-US" w:eastAsia="zh-CN"/>
        </w:rPr>
        <w:t>（5）</w:t>
      </w:r>
      <w:r>
        <w:rPr>
          <w:rFonts w:hint="eastAsia" w:ascii="宋体" w:hAnsi="宋体"/>
          <w:szCs w:val="24"/>
          <w:lang w:val="en-US" w:eastAsia="zh-CN"/>
        </w:rPr>
        <w:t>中共党史</w:t>
      </w:r>
    </w:p>
    <w:p>
      <w:pPr>
        <w:ind w:firstLine="480"/>
        <w:rPr>
          <w:rFonts w:hint="eastAsia" w:ascii="宋体" w:hAnsi="宋体"/>
          <w:szCs w:val="24"/>
        </w:rPr>
      </w:pPr>
      <w:r>
        <w:rPr>
          <w:rFonts w:hint="eastAsia" w:ascii="宋体" w:hAnsi="宋体"/>
          <w:szCs w:val="24"/>
        </w:rPr>
        <w:t>本课程是一门公共基础课程，是高等职业学校专科课程设置中“思想政治理论课”选择性必修课程之一。该课程主要讲授中国共产党自诞生以来领导中国人民为了实现中国梦的探索史、奋斗史、创业史和发展史。帮助学生正确认识党的历史、新中国的历史，从中汲取新的智慧和力量。该课程引导大学生深刻认识我们党先进的政治属性、崇高的政治理想、高尚的政治追求、纯洁的政治品质，深刻认识中国从站起来、富起来到强起来的艰辛探索和历史必然，深刻认识党的执政使命和根本宗旨，引导大学生增强“四个意识”、坚定“四个自信”、做到“两个维护”。</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w:t>
      </w:r>
      <w:r>
        <w:rPr>
          <w:rFonts w:hint="eastAsia" w:ascii="宋体" w:hAnsi="宋体" w:eastAsia="宋体"/>
          <w:szCs w:val="24"/>
          <w:u w:val="none"/>
          <w:lang w:val="en-US" w:eastAsia="zh-CN"/>
        </w:rPr>
        <w:t>6</w:t>
      </w:r>
      <w:r>
        <w:rPr>
          <w:rFonts w:hint="eastAsia" w:ascii="宋体" w:hAnsi="宋体" w:eastAsia="宋体"/>
          <w:szCs w:val="24"/>
          <w:u w:val="none"/>
        </w:rPr>
        <w:t>）军事理论</w:t>
      </w:r>
      <w:bookmarkEnd w:id="43"/>
      <w:bookmarkEnd w:id="44"/>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是一门公共基础课程，也是我院各专业开设的一门网络通识课程。该课程以国防教育为主线，以军事理论教学为重点，通过军事理论教学，让学生掌握基本军事理论与军事技能，增强国防观念和国家安全意识，强化爱国主义、集体主义观念，加强组织纪律性，促进综合素质的提高，为中国人民解放军训练储备合格后备兵员和培养预备役军官打下坚实基础。</w:t>
      </w:r>
      <w:r>
        <w:rPr>
          <w:rFonts w:hint="eastAsia" w:ascii="宋体" w:hAnsi="宋体" w:eastAsia="宋体" w:cs="Times New Roman"/>
          <w:szCs w:val="24"/>
          <w:u w:val="none"/>
          <w:lang w:eastAsia="zh-Hans"/>
        </w:rPr>
        <w:t>该课程从“思想路径”入手抓核心抓关键，积极着眼于“实践路径”以促进当代大学生对思想政治教育和军事理论课程主动的认可。通过对该课程的学习，</w:t>
      </w:r>
      <w:r>
        <w:rPr>
          <w:rFonts w:hint="eastAsia" w:ascii="宋体" w:hAnsi="宋体" w:eastAsia="宋体" w:cs="Times New Roman"/>
          <w:szCs w:val="24"/>
          <w:u w:val="none"/>
        </w:rPr>
        <w:t>提升</w:t>
      </w:r>
      <w:r>
        <w:rPr>
          <w:rFonts w:hint="eastAsia" w:ascii="宋体" w:hAnsi="宋体" w:eastAsia="宋体" w:cs="Times New Roman"/>
          <w:szCs w:val="24"/>
          <w:u w:val="none"/>
          <w:lang w:eastAsia="zh-Hans"/>
        </w:rPr>
        <w:t>大学生人格素养，</w:t>
      </w:r>
      <w:r>
        <w:rPr>
          <w:rFonts w:hint="eastAsia" w:ascii="宋体" w:hAnsi="宋体" w:eastAsia="宋体" w:cs="Times New Roman"/>
          <w:szCs w:val="24"/>
          <w:u w:val="none"/>
        </w:rPr>
        <w:t>完备</w:t>
      </w:r>
      <w:r>
        <w:rPr>
          <w:rFonts w:hint="eastAsia" w:ascii="宋体" w:hAnsi="宋体" w:eastAsia="宋体" w:cs="Times New Roman"/>
          <w:szCs w:val="24"/>
          <w:u w:val="none"/>
          <w:lang w:eastAsia="zh-Hans"/>
        </w:rPr>
        <w:t>知识体系，</w:t>
      </w:r>
      <w:r>
        <w:rPr>
          <w:rFonts w:hint="eastAsia" w:ascii="宋体" w:hAnsi="宋体" w:eastAsia="宋体" w:cs="Times New Roman"/>
          <w:szCs w:val="24"/>
          <w:u w:val="none"/>
        </w:rPr>
        <w:t>强化</w:t>
      </w:r>
      <w:r>
        <w:rPr>
          <w:rFonts w:hint="eastAsia" w:ascii="宋体" w:hAnsi="宋体" w:eastAsia="宋体" w:cs="Times New Roman"/>
          <w:szCs w:val="24"/>
          <w:u w:val="none"/>
          <w:lang w:eastAsia="zh-Hans"/>
        </w:rPr>
        <w:t>国防意识，</w:t>
      </w:r>
      <w:r>
        <w:rPr>
          <w:rFonts w:hint="eastAsia" w:ascii="宋体" w:hAnsi="宋体" w:eastAsia="宋体" w:cs="Times New Roman"/>
          <w:szCs w:val="24"/>
          <w:u w:val="none"/>
        </w:rPr>
        <w:t>养成</w:t>
      </w:r>
      <w:r>
        <w:rPr>
          <w:rFonts w:hint="eastAsia" w:ascii="宋体" w:hAnsi="宋体" w:eastAsia="宋体" w:cs="Times New Roman"/>
          <w:szCs w:val="24"/>
          <w:u w:val="none"/>
          <w:lang w:eastAsia="zh-Hans"/>
        </w:rPr>
        <w:t>国家责任感和民族自豪感。</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w:t>
      </w:r>
      <w:r>
        <w:rPr>
          <w:rFonts w:hint="eastAsia" w:ascii="宋体" w:hAnsi="宋体" w:eastAsia="宋体"/>
          <w:szCs w:val="24"/>
          <w:u w:val="none"/>
          <w:lang w:val="en-US" w:eastAsia="zh-CN"/>
        </w:rPr>
        <w:t>7</w:t>
      </w:r>
      <w:r>
        <w:rPr>
          <w:rFonts w:hint="eastAsia" w:ascii="宋体" w:hAnsi="宋体" w:eastAsia="宋体"/>
          <w:szCs w:val="24"/>
          <w:u w:val="none"/>
        </w:rPr>
        <w:t>）心理健康教育</w:t>
      </w:r>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是一门公共基础课程、健康教育课程，也是学生综合素质培养的必修课程。该课程主要阐述大学生心理健康的基本理论和知识，自我心理保健的基本方法和技能，具体包括：心理健康导论、人格发展、异常心理等基本理论；生涯规划、学习心理、人际交往、性心理及恋爱心理、生命教育等基本知识；自我意识培养、心理困惑疏解、情绪管理、压力管理与挫折应对、心理危机应对等基本方法和技能。</w:t>
      </w:r>
      <w:r>
        <w:rPr>
          <w:rFonts w:hint="eastAsia" w:ascii="宋体" w:hAnsi="宋体" w:eastAsia="宋体" w:cs="Times New Roman"/>
          <w:szCs w:val="24"/>
          <w:u w:val="none"/>
        </w:rPr>
        <w:t>该课程是提高大学生心理素质，促进学生全面发展的公共基础课程。该课程培养学生自尊自信、理性平和、积极向上的社会心态，提升学生社会适应能力、团队合作能力等职业素养。</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w:t>
      </w:r>
      <w:r>
        <w:rPr>
          <w:rFonts w:hint="eastAsia" w:ascii="宋体" w:hAnsi="宋体" w:eastAsia="宋体"/>
          <w:szCs w:val="24"/>
          <w:u w:val="none"/>
          <w:lang w:val="en-US" w:eastAsia="zh-CN"/>
        </w:rPr>
        <w:t>8</w:t>
      </w:r>
      <w:r>
        <w:rPr>
          <w:rFonts w:hint="eastAsia" w:ascii="宋体" w:hAnsi="宋体" w:eastAsia="宋体"/>
          <w:szCs w:val="24"/>
          <w:u w:val="none"/>
        </w:rPr>
        <w:t>）职业发展与就业指导</w:t>
      </w:r>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本课程是一门公共基础课程。该课程是一门帮助大学生规划未来发展，掌握自我探索、环境探索、生涯决策方法，提高求职技巧，撰写职业化简历，有效应对面试，培养职场素质，提升生涯管理能力的课程。</w:t>
      </w:r>
      <w:r>
        <w:rPr>
          <w:rFonts w:hint="eastAsia" w:ascii="宋体" w:hAnsi="宋体" w:eastAsia="宋体"/>
          <w:szCs w:val="24"/>
          <w:u w:val="none"/>
          <w:lang w:eastAsia="zh-Hans"/>
        </w:rPr>
        <w:t>通过对该课程的学习，</w:t>
      </w:r>
      <w:r>
        <w:rPr>
          <w:rFonts w:hint="eastAsia" w:ascii="宋体" w:hAnsi="宋体" w:eastAsia="宋体" w:cs="Times New Roman"/>
          <w:szCs w:val="24"/>
          <w:u w:val="none"/>
        </w:rPr>
        <w:t>让</w:t>
      </w:r>
      <w:r>
        <w:rPr>
          <w:rFonts w:hint="eastAsia" w:ascii="宋体" w:hAnsi="宋体" w:eastAsia="宋体" w:cs="Times New Roman"/>
          <w:szCs w:val="24"/>
          <w:u w:val="none"/>
          <w:lang w:eastAsia="zh-Hans"/>
        </w:rPr>
        <w:t>学生增强职业规划意识，明确学习目标；增强自主学习的能动性，潜心关注目标行业的生产现状和科技成果；把学生的思想政治教育融入到职业素质培养中，最终实现人职匹配，个人目标与社会目标协调发展。</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w:t>
      </w:r>
      <w:r>
        <w:rPr>
          <w:rFonts w:hint="eastAsia" w:ascii="宋体" w:hAnsi="宋体" w:eastAsia="宋体"/>
          <w:szCs w:val="24"/>
          <w:u w:val="none"/>
          <w:lang w:val="en-US" w:eastAsia="zh-CN"/>
        </w:rPr>
        <w:t>9</w:t>
      </w:r>
      <w:r>
        <w:rPr>
          <w:rFonts w:hint="eastAsia" w:ascii="宋体" w:hAnsi="宋体" w:eastAsia="宋体"/>
          <w:szCs w:val="24"/>
          <w:u w:val="none"/>
        </w:rPr>
        <w:t>）高等数学</w:t>
      </w:r>
    </w:p>
    <w:p>
      <w:pPr>
        <w:pStyle w:val="6"/>
        <w:spacing w:before="0" w:beforeAutospacing="0" w:after="0" w:afterAutospacing="0"/>
        <w:rPr>
          <w:rFonts w:ascii="宋体" w:hAnsi="宋体" w:eastAsia="宋体"/>
          <w:szCs w:val="24"/>
          <w:u w:val="none"/>
        </w:rPr>
      </w:pPr>
      <w:r>
        <w:rPr>
          <w:rFonts w:hint="eastAsia" w:ascii="宋体" w:hAnsi="宋体" w:eastAsia="宋体"/>
          <w:szCs w:val="24"/>
          <w:u w:val="none"/>
          <w:lang w:eastAsia="zh-Hans"/>
        </w:rPr>
        <w:t>本门课程是一门公共基础课。</w:t>
      </w:r>
      <w:r>
        <w:rPr>
          <w:rFonts w:hint="eastAsia" w:ascii="宋体" w:hAnsi="宋体" w:eastAsia="宋体"/>
          <w:szCs w:val="24"/>
          <w:u w:val="none"/>
        </w:rPr>
        <w:t>该</w:t>
      </w:r>
      <w:r>
        <w:rPr>
          <w:rFonts w:hint="eastAsia" w:ascii="宋体" w:hAnsi="宋体" w:eastAsia="宋体"/>
          <w:szCs w:val="24"/>
          <w:u w:val="none"/>
          <w:lang w:eastAsia="zh-Hans"/>
        </w:rPr>
        <w:t>课程内容以三年制高等职业教育的培养目标为依据，注意与中学数学课程的衔接，按照“考虑学生基础，注重实际运用，强化能力培养”的原则，确定教学内容。教学内容按模块式设置，包括：微积分、线性代数、概率与数理统计。通过该课程的学习，要为学生今后学习专业课程和工作需要打下必要的数学基础。通过相关知识的学习，</w:t>
      </w:r>
      <w:r>
        <w:rPr>
          <w:rFonts w:hint="eastAsia" w:ascii="宋体" w:hAnsi="宋体" w:eastAsia="宋体" w:cs="Times New Roman"/>
          <w:szCs w:val="24"/>
          <w:u w:val="none"/>
          <w:lang w:eastAsia="zh-Hans"/>
        </w:rPr>
        <w:t>使学生初步认识极限的思想和方法，初步掌握微积分的基础知识，建立变量的思想，形成辩证唯物主义观点，并掌握运用变量数学方法解决简单实际问题的能力。教学过程中不仅培养学生较强的抽象思维,逻辑思维和创新思维能力，而且养成认真严谨的作风，具有拼搏和奉献的精神。</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w:t>
      </w:r>
      <w:r>
        <w:rPr>
          <w:rFonts w:hint="eastAsia" w:ascii="宋体" w:hAnsi="宋体" w:eastAsia="宋体"/>
          <w:szCs w:val="24"/>
          <w:u w:val="none"/>
          <w:lang w:val="en-US" w:eastAsia="zh-CN"/>
        </w:rPr>
        <w:t>10</w:t>
      </w:r>
      <w:r>
        <w:rPr>
          <w:rFonts w:hint="eastAsia" w:ascii="宋体" w:hAnsi="宋体" w:eastAsia="宋体"/>
          <w:szCs w:val="24"/>
          <w:u w:val="none"/>
        </w:rPr>
        <w:t>）英语</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本课程是一门公共基础课程，该课程兼具工具性与人文性。本课程以中等职业学校和普通高中的英语课程为基础，与本科教育阶段的英语课程相衔接，旨在培养学生学习英语和应用英语的能力，具备必要的英语听、说、读、看、写、译技能，进一步促进学生英语学科核心素养的发展，主要包括职场涉外沟通、多元文化交流、语言思维提升和自主学习完善四个方面。通过本课程学习，学生应该能够达到课程标准所设定的四项学科核心素养的发展目标,能够在日常生活和职场中用英语进行有效沟通,为学生未来继续学习和终身发展奠定良好的英语基础。</w:t>
      </w:r>
      <w:r>
        <w:rPr>
          <w:rFonts w:hint="eastAsia" w:ascii="宋体" w:hAnsi="宋体" w:eastAsia="宋体" w:cs="Times New Roman"/>
          <w:szCs w:val="24"/>
          <w:u w:val="none"/>
        </w:rPr>
        <w:t>通过本课程学习，能够拓展学生的思维能力，提升学生的独立自主以及合作学习的能力，提升文化修养，培养职业精神与职业技能，形成正确的价值观，成为有文明素养和社会责任感的高素质技术技能人才。</w:t>
      </w:r>
      <w:r>
        <w:rPr>
          <w:rFonts w:hint="eastAsia" w:ascii="宋体" w:hAnsi="宋体" w:eastAsia="宋体"/>
          <w:szCs w:val="24"/>
          <w:u w:val="none"/>
        </w:rPr>
        <w:t xml:space="preserve"> </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1</w:t>
      </w:r>
      <w:r>
        <w:rPr>
          <w:rFonts w:hint="eastAsia" w:ascii="宋体" w:hAnsi="宋体" w:eastAsia="宋体"/>
          <w:szCs w:val="24"/>
          <w:u w:val="none"/>
        </w:rPr>
        <w:t>）信息技术基础</w:t>
      </w:r>
      <w:bookmarkStart w:id="45" w:name="_Toc13821"/>
      <w:bookmarkStart w:id="46" w:name="_Toc13763"/>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本课程是一门公共基础课程。该课程内容包含文档处理、电子表格处理、演示文稿制作、信息检索、新一代信息技术概述、信息素养与社会责任等内容。</w:t>
      </w:r>
      <w:r>
        <w:rPr>
          <w:rFonts w:hint="eastAsia" w:ascii="宋体" w:hAnsi="宋体" w:eastAsia="宋体" w:cs="Times New Roman"/>
          <w:szCs w:val="24"/>
          <w:u w:val="none"/>
        </w:rPr>
        <w:t>学生通过理论知识学习、技能训练和综合应用实践，能够增强信息意识、提升计算思维、促进数字化创新与发展能力、树立正确的信息社会价值观和责任感，为其职业发展、终身学习和服务社会奠定基础。</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2</w:t>
      </w:r>
      <w:r>
        <w:rPr>
          <w:rFonts w:hint="eastAsia" w:ascii="宋体" w:hAnsi="宋体" w:eastAsia="宋体"/>
          <w:szCs w:val="24"/>
          <w:u w:val="none"/>
        </w:rPr>
        <w:t>）体育</w:t>
      </w:r>
      <w:bookmarkEnd w:id="45"/>
      <w:bookmarkEnd w:id="46"/>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是一门公共基础课程，是一门以身体练习为主要手段、以增进大学生健康为主要目的的必修课程。该课程分别以理论篇和实践篇阐述体育与健康的基本理论知识、各体育项目基本技术，具体包括：体育的目标、体育对人的身心健康作用、体质和健康标志与体育保健、职业体能、运动损伤、《国家学生体质健康标准》与监控方法等；田径、篮球、排球、足球、乒乓球、网球、武术、跆拳道、健美操、体育舞蹈、瑜伽等。该课程是实施素质教育和培养德智体美全面发展人才不可缺少的重要途径。</w:t>
      </w:r>
      <w:r>
        <w:rPr>
          <w:rFonts w:hint="eastAsia" w:ascii="宋体" w:hAnsi="宋体" w:eastAsia="宋体" w:cs="Times New Roman"/>
          <w:szCs w:val="24"/>
          <w:u w:val="none"/>
        </w:rPr>
        <w:t>通过体育课堂的教育渠道，将运动技能与思想教育有效衔接，</w:t>
      </w:r>
      <w:r>
        <w:rPr>
          <w:rFonts w:hint="eastAsia" w:ascii="宋体" w:hAnsi="宋体" w:eastAsia="宋体" w:cs="Times New Roman"/>
          <w:szCs w:val="24"/>
          <w:highlight w:val="none"/>
          <w:u w:val="none"/>
        </w:rPr>
        <w:t>传输新时代中国特色社会主义，</w:t>
      </w:r>
      <w:r>
        <w:rPr>
          <w:rFonts w:hint="eastAsia" w:ascii="宋体" w:hAnsi="宋体" w:eastAsia="宋体" w:cs="Times New Roman"/>
          <w:szCs w:val="24"/>
          <w:u w:val="none"/>
        </w:rPr>
        <w:t>把握体育人文精神，积极营造良好的校园体育文化，树立“健康第一”的理念，自觉养成锻炼身体的习惯，以达到增进健康、培养兴趣、全面发展的目标。</w:t>
      </w:r>
    </w:p>
    <w:p>
      <w:pPr>
        <w:pStyle w:val="6"/>
        <w:spacing w:before="0" w:beforeAutospacing="0" w:after="0" w:afterAutospacing="0"/>
        <w:ind w:left="480" w:leftChars="200" w:firstLine="0" w:firstLineChars="0"/>
        <w:rPr>
          <w:rFonts w:hint="eastAsia" w:ascii="宋体" w:hAnsi="宋体" w:eastAsia="宋体"/>
          <w:szCs w:val="24"/>
          <w:u w:val="none"/>
        </w:rPr>
      </w:pPr>
      <w:bookmarkStart w:id="47" w:name="_Toc6514"/>
      <w:bookmarkStart w:id="48" w:name="_Toc20309"/>
      <w:r>
        <w:rPr>
          <w:rFonts w:hint="eastAsia" w:ascii="宋体" w:hAnsi="宋体" w:eastAsia="宋体"/>
          <w:szCs w:val="24"/>
          <w:u w:val="none"/>
        </w:rPr>
        <w:t>（1</w:t>
      </w:r>
      <w:bookmarkEnd w:id="47"/>
      <w:bookmarkEnd w:id="48"/>
      <w:r>
        <w:rPr>
          <w:rFonts w:hint="eastAsia" w:ascii="宋体" w:hAnsi="宋体" w:eastAsia="宋体"/>
          <w:szCs w:val="24"/>
          <w:u w:val="none"/>
          <w:lang w:val="en-US" w:eastAsia="zh-CN"/>
        </w:rPr>
        <w:t>3</w:t>
      </w:r>
      <w:r>
        <w:rPr>
          <w:rFonts w:hint="eastAsia" w:ascii="宋体" w:hAnsi="宋体" w:eastAsia="宋体"/>
          <w:szCs w:val="24"/>
          <w:u w:val="none"/>
        </w:rPr>
        <w:t>）大学语文</w:t>
      </w:r>
    </w:p>
    <w:p>
      <w:pPr>
        <w:ind w:firstLine="480"/>
        <w:rPr>
          <w:rFonts w:hint="eastAsia" w:ascii="宋体" w:hAnsi="宋体" w:eastAsia="宋体" w:cs="Times New Roman"/>
          <w:kern w:val="2"/>
          <w:sz w:val="24"/>
          <w:szCs w:val="24"/>
          <w:u w:val="none"/>
          <w:lang w:val="en-US" w:eastAsia="zh-CN" w:bidi="ar-SA"/>
        </w:rPr>
      </w:pPr>
      <w:r>
        <w:rPr>
          <w:rFonts w:hint="eastAsia" w:ascii="宋体" w:hAnsi="宋体" w:eastAsia="宋体"/>
          <w:szCs w:val="24"/>
          <w:u w:val="none"/>
        </w:rPr>
        <w:t>本课程是一门公共基础课程</w:t>
      </w:r>
      <w:r>
        <w:rPr>
          <w:rFonts w:hint="eastAsia" w:ascii="宋体" w:hAnsi="宋体" w:eastAsia="宋体"/>
          <w:szCs w:val="24"/>
          <w:u w:val="none"/>
          <w:lang w:eastAsia="zh-CN"/>
        </w:rPr>
        <w:t>，</w:t>
      </w:r>
      <w:r>
        <w:rPr>
          <w:rFonts w:hint="eastAsia" w:ascii="宋体" w:hAnsi="宋体"/>
          <w:szCs w:val="24"/>
          <w:u w:val="none"/>
        </w:rPr>
        <w:t>具有审美性、工具性和人文性，具有传播人文精神、开展道德熏陶和加强思想教育的功能。该课程主要学习中外文学史、各时期的文学热点、各种体裁的优秀文学作品等，旨在培养大学生的观察能力、思维能力、审美能力、表达能力、写作能力和创造能力等。</w:t>
      </w:r>
      <w:r>
        <w:rPr>
          <w:rFonts w:hint="eastAsia" w:ascii="宋体" w:hAnsi="宋体" w:eastAsia="宋体" w:cs="Times New Roman"/>
          <w:kern w:val="2"/>
          <w:sz w:val="24"/>
          <w:szCs w:val="24"/>
          <w:u w:val="none"/>
          <w:lang w:val="en-US" w:eastAsia="zh-CN" w:bidi="ar-SA"/>
        </w:rPr>
        <w:t>该课程立足于对学生文学兴趣、审美素养和阅读习惯的培养，从而提高大学生的人文素养，塑造大学生的健全人格，培养大学生的问题意识和探究精神，增强大学生的文化自信和责任担当。</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4</w:t>
      </w:r>
      <w:r>
        <w:rPr>
          <w:rFonts w:hint="eastAsia" w:ascii="宋体" w:hAnsi="宋体" w:eastAsia="宋体"/>
          <w:szCs w:val="24"/>
          <w:u w:val="none"/>
        </w:rPr>
        <w:t>）建筑美学鉴赏</w:t>
      </w:r>
    </w:p>
    <w:p>
      <w:pPr>
        <w:ind w:firstLine="480"/>
        <w:rPr>
          <w:rFonts w:hint="eastAsia" w:ascii="宋体" w:hAnsi="宋体" w:eastAsia="宋体" w:cs="Times New Roman"/>
          <w:kern w:val="2"/>
          <w:sz w:val="24"/>
          <w:szCs w:val="24"/>
          <w:u w:val="none"/>
          <w:lang w:val="en-US" w:eastAsia="zh-CN" w:bidi="ar-SA"/>
        </w:rPr>
      </w:pPr>
      <w:r>
        <w:rPr>
          <w:rFonts w:hint="eastAsia" w:ascii="宋体" w:hAnsi="宋体"/>
          <w:szCs w:val="24"/>
          <w:u w:val="none"/>
        </w:rPr>
        <w:t>本课程是工程管理系的一门公共基础课程。该课程主要讲授不同建筑艺术语言的特征、建筑美学的抽象与表达、建筑细部的意义等。</w:t>
      </w:r>
      <w:r>
        <w:rPr>
          <w:rFonts w:hint="eastAsia" w:ascii="宋体" w:hAnsi="宋体" w:eastAsia="宋体" w:cs="Times New Roman"/>
          <w:kern w:val="2"/>
          <w:sz w:val="24"/>
          <w:szCs w:val="24"/>
          <w:u w:val="none"/>
          <w:lang w:val="en-US" w:eastAsia="zh-CN" w:bidi="ar-SA"/>
        </w:rPr>
        <w:t>该课程旨在培养学生掌握美学基础知识，中外古建筑美学，建筑审美观念的转折与变化，当代世界建筑文化的交融，以提高学生的专业素养和审美水平，增强学生的审美趣味，从而使建筑创作能够得到美学趣味的升华。</w:t>
      </w:r>
    </w:p>
    <w:p>
      <w:pPr>
        <w:pStyle w:val="6"/>
        <w:spacing w:before="0" w:beforeAutospacing="0" w:after="0" w:afterAutospacing="0"/>
        <w:ind w:left="480" w:leftChars="200" w:firstLine="0" w:firstLineChars="0"/>
        <w:rPr>
          <w:rFonts w:hint="eastAsia" w:ascii="宋体" w:hAnsi="宋体" w:eastAsia="宋体"/>
          <w:szCs w:val="24"/>
          <w:u w:val="none"/>
        </w:rPr>
      </w:pPr>
      <w:bookmarkStart w:id="49" w:name="_Toc32434"/>
      <w:bookmarkStart w:id="50" w:name="_Toc22085"/>
      <w:r>
        <w:rPr>
          <w:rFonts w:hint="eastAsia" w:ascii="宋体" w:hAnsi="宋体" w:eastAsia="宋体"/>
          <w:szCs w:val="24"/>
          <w:u w:val="none"/>
        </w:rPr>
        <w:t>（1</w:t>
      </w:r>
      <w:r>
        <w:rPr>
          <w:rFonts w:hint="eastAsia" w:ascii="宋体" w:hAnsi="宋体" w:eastAsia="宋体"/>
          <w:szCs w:val="24"/>
          <w:u w:val="none"/>
          <w:lang w:val="en-US" w:eastAsia="zh-CN"/>
        </w:rPr>
        <w:t>5</w:t>
      </w:r>
      <w:r>
        <w:rPr>
          <w:rFonts w:hint="eastAsia" w:ascii="宋体" w:hAnsi="宋体" w:eastAsia="宋体"/>
          <w:szCs w:val="24"/>
          <w:u w:val="none"/>
        </w:rPr>
        <w:t>）劳动教育</w:t>
      </w:r>
      <w:bookmarkEnd w:id="49"/>
      <w:bookmarkEnd w:id="50"/>
    </w:p>
    <w:p>
      <w:pPr>
        <w:pStyle w:val="6"/>
        <w:spacing w:before="0" w:beforeAutospacing="0" w:after="0" w:afterAutospacing="0"/>
        <w:rPr>
          <w:rFonts w:hint="eastAsia" w:ascii="宋体" w:hAnsi="宋体" w:eastAsia="宋体"/>
          <w:szCs w:val="24"/>
          <w:u w:val="none"/>
          <w:lang w:val="zh-CN"/>
        </w:rPr>
      </w:pPr>
      <w:r>
        <w:rPr>
          <w:rFonts w:hint="eastAsia" w:ascii="宋体" w:hAnsi="宋体" w:eastAsia="宋体"/>
          <w:szCs w:val="24"/>
          <w:u w:val="none"/>
          <w:lang w:val="zh-CN"/>
        </w:rPr>
        <w:t>本课程是一门公共基础课程。该课程涵盖劳动科学不同领域的基础知识，围绕劳动主题，从历史到未来，完整勾勒出劳动科学的基本样貌，包括劳动的思想、劳动与人生、劳动与经济、劳动与法律、劳动与安全、劳动的未来等17章内容，通过本课程学习，能使学生掌握与自身未来职业发展密切相关的通用劳动科学知识，理解和形成马克思主义劳动观，树立正确的劳动价值取向和积极的劳动精神面貌。</w:t>
      </w:r>
      <w:r>
        <w:rPr>
          <w:rFonts w:hint="eastAsia" w:ascii="宋体" w:hAnsi="宋体" w:eastAsia="宋体" w:cs="Times New Roman"/>
          <w:szCs w:val="24"/>
          <w:u w:val="none"/>
          <w:lang w:val="zh-CN"/>
        </w:rPr>
        <w:t>通过对该课程的学习，可以引导学生确立马克思主义劳动观和幸福观，涵养劳动情怀，厚植劳动精神，确立劳动最光荣、劳动最美丽的价值认同；培育学生知行合一，脚踏实地的实践精神；引导学生坚定理想信念在成长成才中的意义，培育创新精神；提高学生服务国家、服务人民的社会责任感，激发学生锻造服务社会能力和追求向上向善价值的活力。</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6</w:t>
      </w:r>
      <w:r>
        <w:rPr>
          <w:rFonts w:hint="eastAsia" w:ascii="宋体" w:hAnsi="宋体" w:eastAsia="宋体"/>
          <w:szCs w:val="24"/>
          <w:u w:val="none"/>
        </w:rPr>
        <w:t>）大学生国家安全教育</w:t>
      </w:r>
    </w:p>
    <w:p>
      <w:pPr>
        <w:pStyle w:val="6"/>
        <w:spacing w:before="0" w:beforeAutospacing="0" w:after="0" w:afterAutospacing="0"/>
        <w:rPr>
          <w:rFonts w:hint="eastAsia" w:ascii="宋体" w:hAnsi="宋体" w:eastAsia="宋体" w:cs="Times New Roman"/>
          <w:szCs w:val="24"/>
          <w:u w:val="none"/>
          <w:lang w:val="zh-CN"/>
        </w:rPr>
      </w:pPr>
      <w:r>
        <w:rPr>
          <w:rFonts w:hint="eastAsia" w:ascii="宋体" w:hAnsi="宋体" w:eastAsia="宋体"/>
          <w:szCs w:val="24"/>
          <w:u w:val="none"/>
          <w:lang w:val="zh-CN"/>
        </w:rPr>
        <w:t>本课程是一门公共基础课程，也是我院各专业开设的一门网络通识课程。该课程以习近平总体国家安全观为主线，全面介绍国家安全战略、国家安全管理和国家安全法治等内容，向大学生展现一张宏伟的国家安全蓝图，激发大学生的爱国主义情怀。主讲教师团队通过案例教学，以鲜活的安全案例来阐述国家安全理论，让大学生从生动的案例中学习国家安全知识，培养大学生维护国家安全的责任感与能力。</w:t>
      </w:r>
      <w:r>
        <w:rPr>
          <w:rFonts w:hint="eastAsia" w:ascii="宋体" w:hAnsi="宋体" w:eastAsia="宋体" w:cs="Times New Roman"/>
          <w:szCs w:val="24"/>
          <w:u w:val="none"/>
          <w:lang w:val="zh-CN"/>
        </w:rPr>
        <w:t>该课程将思政育人融入到了课程教学，正确引导大学生树立正确的价值取向，通过该课程的学习，可以提升学生的综合能力和道德素养，不断推进科教兴国与人才强国战略的实施。</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7</w:t>
      </w:r>
      <w:r>
        <w:rPr>
          <w:rFonts w:hint="eastAsia" w:ascii="宋体" w:hAnsi="宋体" w:eastAsia="宋体"/>
          <w:szCs w:val="24"/>
          <w:u w:val="none"/>
        </w:rPr>
        <w:t>）大学生创新基础</w:t>
      </w:r>
    </w:p>
    <w:p>
      <w:pPr>
        <w:pStyle w:val="6"/>
        <w:spacing w:before="0" w:beforeAutospacing="0" w:after="0" w:afterAutospacing="0"/>
        <w:rPr>
          <w:rFonts w:hint="eastAsia" w:ascii="宋体" w:hAnsi="宋体" w:eastAsia="宋体" w:cs="Times New Roman"/>
          <w:szCs w:val="24"/>
          <w:u w:val="none"/>
          <w:lang w:val="zh-CN"/>
        </w:rPr>
      </w:pPr>
      <w:r>
        <w:rPr>
          <w:rFonts w:hint="eastAsia" w:ascii="宋体" w:hAnsi="宋体" w:eastAsia="宋体"/>
          <w:szCs w:val="24"/>
          <w:u w:val="none"/>
          <w:lang w:val="zh-CN"/>
        </w:rPr>
        <w:t>本课程是一门公共基础课程，也是我院各专业开设的一门网络通识课程。该课程立足于新世纪大学生的创新通识教育，采用“理论+方法＋应用”三为一体的方式，引导学生了解创新本质，探究创新性思维原理，培养学生的创新思考方式。通过对几种常用创新思维工具的应用训练，促进学生对当今时代创新实践应用的深度感知，从而开阔创新视野，启发及促进大学生群体的创新实践。</w:t>
      </w:r>
      <w:r>
        <w:rPr>
          <w:rFonts w:hint="eastAsia" w:ascii="宋体" w:hAnsi="宋体" w:eastAsia="宋体" w:cs="Times New Roman"/>
          <w:szCs w:val="24"/>
          <w:u w:val="none"/>
          <w:lang w:val="zh-CN"/>
        </w:rPr>
        <w:t>该课程融入社会主义核心价值观，让社会主义核心价值观入脑入心，通过对本课程的学习，可以帮助学生明确创新本质，理解创新的重要性，开阔创新思维了解创新在社会各个领域的实践运用情况。</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8</w:t>
      </w:r>
      <w:r>
        <w:rPr>
          <w:rFonts w:hint="eastAsia" w:ascii="宋体" w:hAnsi="宋体" w:eastAsia="宋体"/>
          <w:szCs w:val="24"/>
          <w:u w:val="none"/>
        </w:rPr>
        <w:t>）大学生创业基础</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lang w:val="zh-CN"/>
        </w:rPr>
        <w:t>本课程是一门公共基础课程，也是我院各专业开设的一门网络通识课程。该课程主要介绍了大学生应怎样创业以及创业的具体方法，并用一些案例来说明如何创业，同时对国内外创业情况进行了比较，对大学生创业有很好的借鉴和指导作用，并指导学生以团队形式开展一些项目化的实践训练。</w:t>
      </w:r>
      <w:r>
        <w:rPr>
          <w:rFonts w:hint="eastAsia" w:ascii="宋体" w:hAnsi="宋体" w:eastAsia="宋体" w:cs="Times New Roman"/>
          <w:szCs w:val="24"/>
          <w:u w:val="none"/>
          <w:lang w:val="zh-CN"/>
        </w:rPr>
        <w:t>该课程融入社会主义核心价值观，让社会主义核心价值观入脑入心，通过该课程的学习，引导学生尽早树立创业意识，学会创新性思维，提升精神心理品质，了解企业创建和运行管理的基础知识，提升实践创新能力。</w:t>
      </w:r>
    </w:p>
    <w:p>
      <w:pPr>
        <w:pStyle w:val="6"/>
        <w:spacing w:before="0" w:beforeAutospacing="0" w:after="0" w:afterAutospacing="0"/>
        <w:ind w:left="480" w:leftChars="200" w:firstLine="0" w:firstLineChars="0"/>
        <w:rPr>
          <w:rFonts w:hint="eastAsia" w:ascii="宋体" w:hAnsi="宋体" w:eastAsia="宋体"/>
          <w:szCs w:val="24"/>
          <w:u w:val="none"/>
        </w:rPr>
      </w:pPr>
      <w:r>
        <w:rPr>
          <w:rFonts w:hint="eastAsia" w:ascii="宋体" w:hAnsi="宋体" w:eastAsia="宋体"/>
          <w:szCs w:val="24"/>
          <w:u w:val="none"/>
        </w:rPr>
        <w:t>（1</w:t>
      </w:r>
      <w:r>
        <w:rPr>
          <w:rFonts w:hint="eastAsia" w:ascii="宋体" w:hAnsi="宋体" w:eastAsia="宋体"/>
          <w:szCs w:val="24"/>
          <w:u w:val="none"/>
          <w:lang w:val="en-US" w:eastAsia="zh-CN"/>
        </w:rPr>
        <w:t>9</w:t>
      </w:r>
      <w:r>
        <w:rPr>
          <w:rFonts w:hint="eastAsia" w:ascii="宋体" w:hAnsi="宋体" w:eastAsia="宋体"/>
          <w:szCs w:val="24"/>
          <w:u w:val="none"/>
        </w:rPr>
        <w:t>）大学生防艾健康教育</w:t>
      </w:r>
    </w:p>
    <w:p>
      <w:pPr>
        <w:pStyle w:val="6"/>
        <w:spacing w:before="0" w:beforeAutospacing="0" w:after="0" w:afterAutospacing="0"/>
        <w:rPr>
          <w:rFonts w:hint="eastAsia" w:ascii="宋体" w:hAnsi="宋体" w:eastAsia="宋体" w:cs="Times New Roman"/>
          <w:szCs w:val="24"/>
          <w:u w:val="none"/>
          <w:lang w:val="zh-CN"/>
        </w:rPr>
      </w:pPr>
      <w:r>
        <w:rPr>
          <w:rFonts w:hint="eastAsia" w:ascii="宋体" w:hAnsi="宋体" w:eastAsia="宋体"/>
          <w:szCs w:val="24"/>
          <w:u w:val="none"/>
          <w:lang w:val="zh-CN"/>
        </w:rPr>
        <w:t>本课程是一门公共基础课程，也是我院各专业开设的一门网络通识课程。该课程在普及艾滋病防治知识的基础上，从大学生性健康教育着眼，以大学生喜闻乐见的形式，引导学生在性道德、性责任方面形成明确认知，引导学生建立正确的性观念。</w:t>
      </w:r>
      <w:r>
        <w:rPr>
          <w:rFonts w:hint="eastAsia" w:ascii="宋体" w:hAnsi="宋体" w:eastAsia="宋体" w:cs="Times New Roman"/>
          <w:szCs w:val="24"/>
          <w:u w:val="none"/>
          <w:lang w:val="zh-CN"/>
        </w:rPr>
        <w:t>通过该课程的学习，增强大学生对艾滋病认识，引导学生提高自我防护能力，帮助学生正确面对并科学预防艾滋病。</w:t>
      </w:r>
    </w:p>
    <w:p>
      <w:pPr>
        <w:ind w:firstLine="482"/>
        <w:outlineLvl w:val="3"/>
        <w:rPr>
          <w:rFonts w:hint="eastAsia" w:ascii="楷体" w:hAnsi="楷体" w:eastAsia="楷体" w:cs="楷体"/>
          <w:b/>
          <w:szCs w:val="24"/>
          <w:u w:val="none"/>
        </w:rPr>
      </w:pPr>
      <w:r>
        <w:rPr>
          <w:rFonts w:hint="eastAsia" w:ascii="楷体" w:hAnsi="楷体" w:eastAsia="楷体" w:cs="楷体"/>
          <w:b/>
          <w:szCs w:val="24"/>
          <w:u w:val="none"/>
        </w:rPr>
        <w:t>2.</w:t>
      </w:r>
      <w:r>
        <w:rPr>
          <w:rFonts w:hint="eastAsia" w:ascii="楷体" w:hAnsi="楷体" w:eastAsia="楷体" w:cs="楷体"/>
          <w:b/>
          <w:szCs w:val="24"/>
          <w:u w:val="none"/>
          <w:lang w:val="en-US" w:eastAsia="zh-CN"/>
        </w:rPr>
        <w:t>专业</w:t>
      </w:r>
      <w:r>
        <w:rPr>
          <w:rFonts w:hint="eastAsia" w:ascii="楷体" w:hAnsi="楷体" w:eastAsia="楷体" w:cs="楷体"/>
          <w:b/>
          <w:szCs w:val="24"/>
          <w:u w:val="none"/>
        </w:rPr>
        <w:t>基础课程</w:t>
      </w:r>
    </w:p>
    <w:p>
      <w:pPr>
        <w:pStyle w:val="6"/>
        <w:spacing w:before="0" w:beforeAutospacing="0" w:after="0" w:afterAutospacing="0"/>
        <w:rPr>
          <w:rFonts w:hint="eastAsia" w:ascii="宋体" w:hAnsi="宋体" w:eastAsia="宋体"/>
          <w:szCs w:val="24"/>
          <w:u w:val="none"/>
        </w:rPr>
      </w:pPr>
      <w:bookmarkStart w:id="51" w:name="_Toc77759083"/>
      <w:bookmarkStart w:id="52" w:name="_Toc16853303"/>
      <w:bookmarkStart w:id="53" w:name="_Toc16851819"/>
      <w:r>
        <w:rPr>
          <w:rFonts w:hint="eastAsia" w:ascii="宋体" w:hAnsi="宋体" w:eastAsia="宋体"/>
          <w:szCs w:val="24"/>
          <w:u w:val="none"/>
        </w:rPr>
        <w:t>（1）基础会计</w:t>
      </w:r>
      <w:bookmarkEnd w:id="51"/>
      <w:bookmarkEnd w:id="52"/>
      <w:bookmarkEnd w:id="53"/>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主要阐述会计的基本理论和知识、基本核算方法和基本操作技能，具体包括：会计职能、特点、对象，及其会计核算基本前提等基本理论；会计要素、会计等式、会计科目、账户和借贷记账法等基本知识；填制会计凭证、登记会计账簿、编制会计报表等基本方法和操作技能等。</w:t>
      </w:r>
      <w:r>
        <w:rPr>
          <w:rFonts w:hint="eastAsia" w:ascii="宋体" w:hAnsi="宋体" w:eastAsia="宋体" w:cs="Times New Roman"/>
          <w:szCs w:val="24"/>
          <w:u w:val="none"/>
        </w:rPr>
        <w:t>该课程培养学生的会计职业素质和能力，加强学生会计职业道德教育，提升学生职业道德和职业素养。</w:t>
      </w:r>
    </w:p>
    <w:p>
      <w:pPr>
        <w:pStyle w:val="6"/>
        <w:spacing w:before="0" w:beforeAutospacing="0" w:after="0" w:afterAutospacing="0"/>
        <w:rPr>
          <w:rFonts w:hint="eastAsia" w:ascii="宋体" w:hAnsi="宋体" w:eastAsia="宋体"/>
          <w:szCs w:val="24"/>
          <w:u w:val="none"/>
        </w:rPr>
      </w:pPr>
      <w:bookmarkStart w:id="54" w:name="_Toc77759084"/>
      <w:bookmarkStart w:id="55" w:name="_Toc16851820"/>
      <w:bookmarkStart w:id="56" w:name="_Toc16853304"/>
      <w:r>
        <w:rPr>
          <w:rFonts w:hint="eastAsia" w:ascii="宋体" w:hAnsi="宋体" w:eastAsia="宋体"/>
          <w:szCs w:val="24"/>
          <w:u w:val="none"/>
        </w:rPr>
        <w:t>（2）房地产基本制度与政策</w:t>
      </w:r>
      <w:bookmarkEnd w:id="54"/>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专业基础课程，主要内容包括：房地产法规概述，房地产</w:t>
      </w:r>
      <w:r>
        <w:rPr>
          <w:rFonts w:ascii="宋体" w:hAnsi="宋体" w:eastAsia="宋体"/>
          <w:szCs w:val="24"/>
          <w:u w:val="none"/>
        </w:rPr>
        <w:t>法律关系，城市规划和建设法律制度，土地所有制和土地所有权。土地征用与房屋拆迁管理法律制度，房地产开发、房地产交易、房屋中介服务、房地产市场管理法律制度，房地产登记制度，物业管理法律制度以及房地产纠纷处理等内容</w:t>
      </w:r>
      <w:r>
        <w:rPr>
          <w:rFonts w:hint="eastAsia" w:ascii="宋体" w:hAnsi="宋体" w:eastAsia="宋体"/>
          <w:szCs w:val="24"/>
          <w:u w:val="none"/>
        </w:rPr>
        <w:t>。</w:t>
      </w:r>
      <w:r>
        <w:rPr>
          <w:rFonts w:hint="eastAsia" w:ascii="宋体" w:hAnsi="宋体" w:eastAsia="宋体" w:cs="Times New Roman"/>
          <w:szCs w:val="24"/>
          <w:u w:val="none"/>
        </w:rPr>
        <w:t>该课程培养学生的房地产从业职业素质和能力，加强学生职业道德教育，提升学生职业道德和职业素养。</w:t>
      </w:r>
      <w:bookmarkEnd w:id="55"/>
      <w:bookmarkEnd w:id="56"/>
    </w:p>
    <w:p>
      <w:pPr>
        <w:pStyle w:val="6"/>
        <w:spacing w:before="0" w:beforeAutospacing="0" w:after="0" w:afterAutospacing="0"/>
        <w:rPr>
          <w:rFonts w:hint="eastAsia" w:ascii="宋体" w:hAnsi="宋体" w:eastAsia="宋体"/>
          <w:szCs w:val="24"/>
          <w:u w:val="none"/>
        </w:rPr>
      </w:pPr>
      <w:bookmarkStart w:id="57" w:name="_Toc77759085"/>
      <w:bookmarkStart w:id="58" w:name="_Toc16853305"/>
      <w:bookmarkStart w:id="59" w:name="_Toc16851821"/>
      <w:r>
        <w:rPr>
          <w:rFonts w:hint="eastAsia" w:ascii="宋体" w:hAnsi="宋体" w:eastAsia="宋体"/>
          <w:szCs w:val="24"/>
          <w:u w:val="none"/>
        </w:rPr>
        <w:t>（3）工程经济学</w:t>
      </w:r>
      <w:bookmarkEnd w:id="57"/>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主要内容包括：房地产经济学的基础理论、房地产市场及其供求、房地产价格、房地产企业、房地产投资和房地产融资，以及房地产经济周期、房地产经济的宏观调控和房地产经济的可持续发展问题等问题。通过学习，要求学生熟悉房地产经济运行的特殊规律、土地区位分布规律、城市地租规律、房地产价格规律、房地产市场供求规律和房地产经济波动规律等。</w:t>
      </w:r>
      <w:r>
        <w:rPr>
          <w:rFonts w:hint="eastAsia" w:ascii="宋体" w:hAnsi="宋体" w:eastAsia="宋体" w:cs="Times New Roman"/>
          <w:szCs w:val="24"/>
          <w:u w:val="none"/>
        </w:rPr>
        <w:t>该课程能够培育学生强烈的社会责任感和严谨认真的工作作风，培养学生的从业职业素质和能力，加强学生职业道德教育。</w:t>
      </w:r>
      <w:bookmarkEnd w:id="58"/>
      <w:bookmarkEnd w:id="59"/>
    </w:p>
    <w:p>
      <w:pPr>
        <w:pStyle w:val="6"/>
        <w:spacing w:before="0" w:beforeAutospacing="0" w:after="0" w:afterAutospacing="0"/>
        <w:rPr>
          <w:rFonts w:hint="eastAsia" w:ascii="宋体" w:hAnsi="宋体" w:eastAsia="宋体"/>
          <w:szCs w:val="24"/>
          <w:u w:val="none"/>
        </w:rPr>
      </w:pPr>
      <w:bookmarkStart w:id="60" w:name="_Toc77759086"/>
      <w:bookmarkStart w:id="61" w:name="_Toc16853306"/>
      <w:bookmarkStart w:id="62" w:name="_Toc16851822"/>
      <w:r>
        <w:rPr>
          <w:rFonts w:hint="eastAsia" w:ascii="宋体" w:hAnsi="宋体" w:eastAsia="宋体"/>
          <w:szCs w:val="24"/>
          <w:u w:val="none"/>
        </w:rPr>
        <w:t>（4）建筑材料</w:t>
      </w:r>
      <w:bookmarkEnd w:id="60"/>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主要内容包括：建筑材料的基本性质、石材、水泥、混凝土及砂浆、墙体与屋面材料、建筑钢材、木材、建筑塑料、防水材料、绝热材料和吸声材料、建筑装饰材料等常用建筑材料的基本组成、性能、技术要求和应用范围等。通过学习，要求学生了解和掌握国内目前房屋建筑中常用的各种建筑材料及其发展中的有关新材料、新技术，以利于开阔新思路和合理选用建筑材料。</w:t>
      </w:r>
      <w:r>
        <w:rPr>
          <w:rFonts w:hint="eastAsia" w:ascii="宋体" w:hAnsi="宋体" w:eastAsia="宋体" w:cs="Times New Roman"/>
          <w:szCs w:val="24"/>
          <w:highlight w:val="none"/>
          <w:u w:val="none"/>
        </w:rPr>
        <w:t>该课程同时培养学生精益求精的工匠精神,培养学生的从业职业素质和能力，加强学生职业道德教育和劳动教育，提升学生职业道德和职业素养</w:t>
      </w:r>
      <w:r>
        <w:rPr>
          <w:rFonts w:hint="eastAsia" w:ascii="宋体" w:hAnsi="宋体" w:eastAsia="宋体"/>
          <w:szCs w:val="24"/>
          <w:highlight w:val="none"/>
          <w:u w:val="none"/>
        </w:rPr>
        <w:t>。</w:t>
      </w:r>
      <w:bookmarkEnd w:id="61"/>
      <w:bookmarkEnd w:id="62"/>
    </w:p>
    <w:p>
      <w:pPr>
        <w:pStyle w:val="6"/>
        <w:spacing w:before="0" w:beforeAutospacing="0" w:after="0" w:afterAutospacing="0"/>
        <w:rPr>
          <w:rFonts w:hint="eastAsia" w:ascii="宋体" w:hAnsi="宋体" w:eastAsia="宋体"/>
          <w:szCs w:val="24"/>
          <w:u w:val="none"/>
        </w:rPr>
      </w:pPr>
      <w:bookmarkStart w:id="63" w:name="_Toc77759087"/>
      <w:bookmarkStart w:id="64" w:name="_Toc16853307"/>
      <w:bookmarkStart w:id="65" w:name="_Toc16851823"/>
      <w:r>
        <w:rPr>
          <w:rFonts w:hint="eastAsia" w:ascii="宋体" w:hAnsi="宋体" w:eastAsia="宋体"/>
          <w:szCs w:val="24"/>
          <w:u w:val="none"/>
        </w:rPr>
        <w:t>（5）房屋建筑学</w:t>
      </w:r>
      <w:bookmarkEnd w:id="63"/>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主要内容包括：工业与民用建筑的构造组成、构造原理和构造方法，同时介绍建筑及建筑设计的初步知识、民用建筑的基础、墙体与地下室、楼板、地面、楼梯、屋顶、门窗、变形缝及单层工业厂房外墙、屋面、门窗、地面和其他设施等内容。通过本课程的学习使学生熟悉各类房屋的基本构造，以及掌握对房屋建筑工程图纸的识读，具有从事中小型建筑方案设计和建筑施工图设计的初步能力。该</w:t>
      </w:r>
      <w:r>
        <w:rPr>
          <w:rFonts w:hint="eastAsia" w:ascii="宋体" w:hAnsi="宋体" w:eastAsia="宋体" w:cs="Times New Roman"/>
          <w:szCs w:val="24"/>
          <w:u w:val="none"/>
        </w:rPr>
        <w:t>课程培养学生的从业职业素质和能力，加强学生职业道德教育和劳动教育，提升学生职业道德和职业素养,还能培养强烈的社会责任感和严谨的工作作风，培育学生的新时代创新精神。</w:t>
      </w:r>
      <w:bookmarkEnd w:id="64"/>
      <w:bookmarkEnd w:id="65"/>
    </w:p>
    <w:p>
      <w:pPr>
        <w:pStyle w:val="6"/>
        <w:spacing w:before="0" w:beforeAutospacing="0" w:after="0" w:afterAutospacing="0"/>
        <w:rPr>
          <w:rFonts w:hint="eastAsia" w:ascii="宋体" w:hAnsi="宋体" w:eastAsia="宋体"/>
          <w:szCs w:val="24"/>
          <w:u w:val="none"/>
        </w:rPr>
      </w:pPr>
      <w:bookmarkStart w:id="66" w:name="_Toc77759088"/>
      <w:r>
        <w:rPr>
          <w:rFonts w:hint="eastAsia" w:ascii="宋体" w:hAnsi="宋体" w:eastAsia="宋体"/>
          <w:szCs w:val="24"/>
          <w:u w:val="none"/>
        </w:rPr>
        <w:t>（6）建筑制图与识图</w:t>
      </w:r>
      <w:bookmarkEnd w:id="66"/>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旨在培养学生掌握建筑施工图相关内容的识图及绘图方法，具备一定的空间想象力和思维能力，初步形成建筑的结构和构造做法，培养绘制和读识建筑类工程施工图的制图职业素质，提高职业就业能力，了解民用建筑和工业建筑中各组成部分的构造组成和设计原理，了解设计中的功能问题、结构问题、经济问题、美观问题。该课程主要讲授投影基础、立体的投影、形体的表达、制图基础、建筑施工图、结构施工图、单层工业厂房施工图、建筑给水排水工程图和计算机绘制建筑图等内容。主要以多媒体教学手段，运用虚拟动画演示，变抽象的理论为直观性的过程演示，主要采用项目教学、案例教学、模块化教学等教学方式，运用启发式、讨论式、参与式等教学方法，应用翻转课堂、理实一体教学等教学模式。</w:t>
      </w:r>
      <w:r>
        <w:rPr>
          <w:rFonts w:hint="eastAsia" w:ascii="宋体" w:hAnsi="宋体" w:eastAsia="宋体" w:cs="Times New Roman"/>
          <w:szCs w:val="24"/>
          <w:u w:val="none"/>
        </w:rPr>
        <w:t>该课程培养学生的从业职业素质和能力，加强学生职业道德教育和劳动教育，提升学生职业道德和职业素养,树立学生民族自豪感，培育学生大国“工匠精神”。</w:t>
      </w:r>
    </w:p>
    <w:p>
      <w:pPr>
        <w:pStyle w:val="6"/>
        <w:spacing w:before="0" w:beforeAutospacing="0" w:after="0" w:afterAutospacing="0"/>
        <w:rPr>
          <w:rFonts w:hint="eastAsia" w:ascii="宋体" w:hAnsi="宋体" w:eastAsia="宋体"/>
          <w:szCs w:val="24"/>
          <w:u w:val="none"/>
        </w:rPr>
      </w:pPr>
      <w:bookmarkStart w:id="67" w:name="_Toc77759089"/>
      <w:r>
        <w:rPr>
          <w:rFonts w:hint="eastAsia" w:ascii="宋体" w:hAnsi="宋体" w:eastAsia="宋体"/>
          <w:szCs w:val="24"/>
          <w:u w:val="none"/>
        </w:rPr>
        <w:t>（7）混凝土结构施工图平法识图</w:t>
      </w:r>
      <w:bookmarkEnd w:id="67"/>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eastAsia="zh-CN"/>
        </w:rPr>
        <w:t>是</w:t>
      </w:r>
      <w:r>
        <w:rPr>
          <w:rFonts w:hint="eastAsia" w:ascii="宋体" w:hAnsi="宋体" w:eastAsia="宋体"/>
          <w:szCs w:val="24"/>
          <w:u w:val="none"/>
          <w:lang w:val="en-US" w:eastAsia="zh-CN"/>
        </w:rPr>
        <w:t>现代物业管理</w:t>
      </w:r>
      <w:r>
        <w:rPr>
          <w:rFonts w:hint="eastAsia" w:ascii="宋体" w:hAnsi="宋体" w:eastAsia="宋体"/>
          <w:szCs w:val="24"/>
          <w:u w:val="none"/>
        </w:rPr>
        <w:t>专业匹配“1+X”要求开设课程，以G101、G901系列平法图集和现行相关规范为基础，对现浇混凝土结构平法施工图的识读进行了系统、全面的介绍，内容涉及现浇混凝土结构的柱、剪力墙、梁、板、楼梯的平法制图规则和标准配筋构造等，并配有典型的施工示例，内容翔实，针对性和可操作性强。通过本课程的学习，力求使学生熟练掌握平法技术，并正确理解和识读平法施工图。</w:t>
      </w:r>
      <w:r>
        <w:rPr>
          <w:rFonts w:hint="eastAsia" w:ascii="宋体" w:hAnsi="宋体" w:eastAsia="宋体" w:cs="Times New Roman"/>
          <w:szCs w:val="24"/>
          <w:u w:val="none"/>
        </w:rPr>
        <w:t>该课程培养学生的从业职业素质和能力，加强学生职业道德教育和劳动教育，提升学生职业道德和职业素养，以行动导向式教学培养培养学生务实严谨的职业素养。</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（8）管理学基础</w:t>
      </w:r>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该课程旨在培养学生管理学的基本原理和管理学的基本职能的知识，让学生可以掌握管理的一般原理，并对企业管理有概要性的了解。主要内容包括管理学的形成与发展、现代管理理论流派、组织环境、社会责任与管理道德、计划工作、组织工作、人事工作、领导工作和控制工作，以及企业的战略管理、人力资源管理、生产管理、物流管理、营销管理、财务管理、信息管理等。课程采用启发式、探究式、讨论式、参与式等教学方法。本课程是后期学习物流沙盘模拟对抗、电子商务基础、供应链管理等课程的基础，</w:t>
      </w:r>
      <w:r>
        <w:rPr>
          <w:rFonts w:hint="eastAsia" w:ascii="宋体" w:hAnsi="宋体" w:eastAsia="宋体" w:cs="Times New Roman"/>
          <w:szCs w:val="24"/>
          <w:u w:val="none"/>
        </w:rPr>
        <w:t>该课程培养学生的管理的职业素质和能力，加强学生职业道德教育，提升学生职业道德和职业素养。</w:t>
      </w:r>
    </w:p>
    <w:p>
      <w:pPr>
        <w:pStyle w:val="6"/>
        <w:spacing w:before="0" w:beforeAutospacing="0" w:after="0" w:afterAutospacing="0"/>
        <w:rPr>
          <w:rFonts w:hint="eastAsia" w:ascii="宋体" w:hAnsi="宋体" w:eastAsia="宋体"/>
          <w:szCs w:val="24"/>
          <w:u w:val="none"/>
        </w:rPr>
      </w:pPr>
      <w:r>
        <w:rPr>
          <w:rFonts w:hint="eastAsia" w:ascii="宋体" w:hAnsi="宋体" w:eastAsia="宋体"/>
          <w:szCs w:val="24"/>
          <w:u w:val="none"/>
        </w:rPr>
        <w:t>（9）统计基础</w:t>
      </w:r>
    </w:p>
    <w:p>
      <w:pPr>
        <w:pStyle w:val="6"/>
        <w:spacing w:before="0" w:beforeAutospacing="0" w:after="0" w:afterAutospacing="0"/>
        <w:rPr>
          <w:rFonts w:hint="eastAsia" w:ascii="宋体" w:hAnsi="宋体" w:eastAsia="宋体" w:cs="Times New Roman"/>
          <w:szCs w:val="24"/>
          <w:u w:val="none"/>
        </w:rPr>
      </w:pPr>
      <w:r>
        <w:rPr>
          <w:rFonts w:hint="eastAsia" w:ascii="宋体" w:hAnsi="宋体" w:eastAsia="宋体"/>
          <w:szCs w:val="24"/>
          <w:u w:val="none"/>
        </w:rPr>
        <w:t>本课程</w:t>
      </w:r>
      <w:r>
        <w:rPr>
          <w:rFonts w:hint="eastAsia" w:ascii="宋体" w:hAnsi="宋体" w:eastAsia="宋体"/>
          <w:szCs w:val="24"/>
          <w:u w:val="none"/>
          <w:lang w:val="en-US" w:eastAsia="zh-CN"/>
        </w:rPr>
        <w:t>是现代物业管理</w:t>
      </w:r>
      <w:r>
        <w:rPr>
          <w:rFonts w:hint="eastAsia" w:ascii="宋体" w:hAnsi="宋体" w:eastAsia="宋体"/>
          <w:szCs w:val="24"/>
          <w:u w:val="none"/>
        </w:rPr>
        <w:t>专业的</w:t>
      </w:r>
      <w:r>
        <w:rPr>
          <w:rFonts w:hint="eastAsia" w:ascii="宋体" w:hAnsi="宋体" w:eastAsia="宋体"/>
          <w:szCs w:val="24"/>
          <w:u w:val="none"/>
          <w:lang w:val="en-US" w:eastAsia="zh-CN"/>
        </w:rPr>
        <w:t>一门</w:t>
      </w:r>
      <w:r>
        <w:rPr>
          <w:rFonts w:hint="eastAsia" w:ascii="宋体" w:hAnsi="宋体" w:eastAsia="宋体"/>
          <w:szCs w:val="24"/>
          <w:u w:val="none"/>
        </w:rPr>
        <w:t>专业基础课程。该课程旨在培养学生各种统计方法和工具的应用，让对物流企业及相关业务能够用统计方法进行调研、预测、控制、执行。主要内容包统计记录、基本单位与基本情况记录、统计编码知识、传票法汇总、统计图和绘制和审视等。课程采用启发式、探究式、讨论式、参与式等教学方法。本课程是学生参加市场调查与预测大赛的基础课程，培养了学生统计分析的素质和能力，</w:t>
      </w:r>
      <w:r>
        <w:rPr>
          <w:rFonts w:hint="eastAsia" w:ascii="宋体" w:hAnsi="宋体" w:eastAsia="宋体" w:cs="Times New Roman"/>
          <w:szCs w:val="24"/>
          <w:u w:val="none"/>
        </w:rPr>
        <w:t>提升学生对待数据的严谨分析能力和职业素质。</w:t>
      </w:r>
    </w:p>
    <w:p>
      <w:pPr>
        <w:ind w:firstLine="482"/>
        <w:outlineLvl w:val="3"/>
        <w:rPr>
          <w:rFonts w:hint="eastAsia" w:ascii="楷体" w:hAnsi="楷体" w:eastAsia="楷体" w:cs="楷体"/>
          <w:b/>
          <w:szCs w:val="24"/>
          <w:u w:val="none"/>
        </w:rPr>
      </w:pPr>
      <w:r>
        <w:rPr>
          <w:rFonts w:hint="eastAsia" w:ascii="楷体" w:hAnsi="楷体" w:eastAsia="楷体" w:cs="楷体"/>
          <w:b/>
          <w:szCs w:val="24"/>
          <w:u w:val="none"/>
        </w:rPr>
        <w:t>3.专业核心课程</w:t>
      </w:r>
    </w:p>
    <w:p>
      <w:pPr>
        <w:ind w:firstLine="480"/>
        <w:rPr>
          <w:rFonts w:hint="eastAsia" w:ascii="宋体" w:hAnsi="宋体"/>
          <w:szCs w:val="24"/>
          <w:u w:val="none"/>
        </w:rPr>
      </w:pPr>
      <w:bookmarkStart w:id="68" w:name="_Toc77759090"/>
      <w:bookmarkStart w:id="69" w:name="_Toc11045_WPSOffice_Level3"/>
      <w:bookmarkStart w:id="70" w:name="_Toc17809_WPSOffice_Level3"/>
      <w:bookmarkStart w:id="71" w:name="_Toc30444"/>
      <w:bookmarkStart w:id="72" w:name="_Toc16853308"/>
      <w:bookmarkStart w:id="73" w:name="_Toc16851824"/>
      <w:bookmarkStart w:id="74" w:name="_Toc16834"/>
      <w:bookmarkStart w:id="75" w:name="_Toc25097_WPSOffice_Level3"/>
      <w:bookmarkStart w:id="76" w:name="_Toc19961_WPSOffice_Level3"/>
      <w:r>
        <w:rPr>
          <w:rFonts w:hint="eastAsia" w:ascii="宋体" w:hAnsi="宋体"/>
          <w:szCs w:val="24"/>
          <w:u w:val="none"/>
        </w:rPr>
        <w:t>（1）物业设备与维护</w:t>
      </w:r>
      <w:bookmarkEnd w:id="68"/>
    </w:p>
    <w:p>
      <w:pPr>
        <w:ind w:firstLine="480"/>
        <w:rPr>
          <w:rFonts w:hint="eastAsia" w:ascii="宋体" w:hAnsi="宋体" w:eastAsia="宋体" w:cs="Times New Roman"/>
          <w:kern w:val="2"/>
          <w:sz w:val="24"/>
          <w:szCs w:val="24"/>
          <w:u w:val="none"/>
          <w:lang w:val="en-US" w:eastAsia="zh-CN" w:bidi="ar-SA"/>
        </w:rPr>
      </w:pPr>
      <w:bookmarkStart w:id="77" w:name="_Toc10004"/>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该课程主要介绍物业设备设施的构造、类型、维护与管理。通过本课程的学习，使学生掌握建筑给排水、采暖通风与空气调节、电气工程的基本理论、基本知识和基本技能；并能阅读建筑给排水施工图、供暖施工图、通风施工图、空调施工图、建筑电气施工图；熟悉设计和施工规范；掌握物业设备设施的构造、类型、维护与管理，从业时能够进行物业设备设施的维护。</w:t>
      </w:r>
      <w:bookmarkEnd w:id="77"/>
      <w:r>
        <w:rPr>
          <w:rFonts w:hint="eastAsia" w:ascii="宋体" w:hAnsi="宋体" w:eastAsia="宋体" w:cs="Times New Roman"/>
          <w:kern w:val="2"/>
          <w:sz w:val="24"/>
          <w:szCs w:val="24"/>
          <w:u w:val="none"/>
          <w:lang w:val="en-US" w:eastAsia="zh-CN" w:bidi="ar-SA"/>
        </w:rPr>
        <w:t>该课程能让学生树立科学设计、科学管理的专业理念以及强烈的社会责任感和严谨认真的工作意识。</w:t>
      </w:r>
    </w:p>
    <w:p>
      <w:pPr>
        <w:ind w:firstLine="480"/>
        <w:rPr>
          <w:rFonts w:hint="eastAsia" w:ascii="宋体" w:hAnsi="宋体"/>
          <w:szCs w:val="24"/>
          <w:u w:val="none"/>
        </w:rPr>
      </w:pPr>
      <w:bookmarkStart w:id="78" w:name="_Toc77759091"/>
      <w:r>
        <w:rPr>
          <w:rFonts w:hint="eastAsia" w:ascii="宋体" w:hAnsi="宋体"/>
          <w:szCs w:val="24"/>
          <w:u w:val="none"/>
        </w:rPr>
        <w:t>（2）物业管理理论与实务</w:t>
      </w:r>
      <w:bookmarkEnd w:id="78"/>
    </w:p>
    <w:p>
      <w:pPr>
        <w:ind w:firstLine="480"/>
        <w:rPr>
          <w:rFonts w:hint="eastAsia" w:ascii="宋体" w:hAnsi="宋体" w:eastAsia="宋体" w:cs="Times New Roman"/>
          <w:kern w:val="2"/>
          <w:sz w:val="24"/>
          <w:szCs w:val="24"/>
          <w:u w:val="none"/>
          <w:lang w:val="en-US" w:eastAsia="zh-CN" w:bidi="ar-SA"/>
        </w:rPr>
      </w:pPr>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w:t>
      </w:r>
      <w:r>
        <w:rPr>
          <w:rFonts w:ascii="宋体" w:hAnsi="宋体"/>
          <w:szCs w:val="24"/>
          <w:u w:val="none"/>
        </w:rPr>
        <w:t>该课程主要介绍物业招投标、物业前期介入、物业接管验收、物业日常管理基本理论、基本知识和基本技能；并能</w:t>
      </w:r>
      <w:r>
        <w:rPr>
          <w:rFonts w:hint="eastAsia" w:ascii="宋体" w:hAnsi="宋体"/>
          <w:szCs w:val="24"/>
          <w:u w:val="none"/>
        </w:rPr>
        <w:t>熟知物业管理的业务范围、作业程序和作业要求，掌握物业专业技能知识，具备物业管理岗位所需的管理知识，能够独立地处理物业基本业务工作。</w:t>
      </w:r>
      <w:r>
        <w:rPr>
          <w:rFonts w:hint="eastAsia" w:ascii="宋体" w:hAnsi="宋体" w:eastAsia="宋体" w:cs="Times New Roman"/>
          <w:kern w:val="2"/>
          <w:sz w:val="24"/>
          <w:szCs w:val="24"/>
          <w:u w:val="none"/>
          <w:lang w:val="en-US" w:eastAsia="zh-CN" w:bidi="ar-SA"/>
        </w:rPr>
        <w:t>该课程能让学生树立劳动精神、科学管理的专业理念以及强烈的社会责任感和严谨认真的工作意识。</w:t>
      </w:r>
    </w:p>
    <w:p>
      <w:pPr>
        <w:ind w:firstLine="480"/>
        <w:rPr>
          <w:rFonts w:hint="eastAsia" w:ascii="宋体" w:hAnsi="宋体"/>
          <w:szCs w:val="24"/>
          <w:u w:val="none"/>
        </w:rPr>
      </w:pPr>
      <w:bookmarkStart w:id="79" w:name="_Toc77759092"/>
      <w:r>
        <w:rPr>
          <w:rFonts w:hint="eastAsia" w:ascii="宋体" w:hAnsi="宋体"/>
          <w:szCs w:val="24"/>
          <w:u w:val="none"/>
        </w:rPr>
        <w:t>（3）建筑法规</w:t>
      </w:r>
      <w:bookmarkEnd w:id="79"/>
    </w:p>
    <w:p>
      <w:pPr>
        <w:ind w:firstLine="480"/>
        <w:rPr>
          <w:rFonts w:hint="eastAsia" w:ascii="宋体" w:hAnsi="宋体" w:eastAsia="宋体" w:cs="Times New Roman"/>
          <w:kern w:val="2"/>
          <w:sz w:val="24"/>
          <w:szCs w:val="24"/>
          <w:u w:val="none"/>
          <w:lang w:val="en-US" w:eastAsia="zh-CN" w:bidi="ar-SA"/>
        </w:rPr>
      </w:pPr>
      <w:bookmarkStart w:id="80" w:name="_Toc16154"/>
      <w:bookmarkStart w:id="81" w:name="_Toc32343"/>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主要讲述建设法规与普通法规的关系，建筑法规的体系及立法原则，城乡规划法，建筑法，招标投标法，工程合同法，建设用地法律制度，房地产管理法，建设工程纠纷处理机制等。课程主要采用项目教学、案例教学等教学方式，运用讨论式、参与式等教学方法，以案说法，以案学法，具有较强的实践性和针对性。</w:t>
      </w:r>
      <w:bookmarkEnd w:id="80"/>
      <w:r>
        <w:rPr>
          <w:rFonts w:hint="eastAsia" w:ascii="宋体" w:hAnsi="宋体"/>
          <w:szCs w:val="24"/>
          <w:u w:val="none"/>
        </w:rPr>
        <w:t>该课程旨在培养学生树立工程建设的法律意识，具备懂法、守法和运用的能力，能运用所学习法规知识指导实际工作，具备解决工程建设中相关法律问题的基本能力，并遵守建筑法规的规定；具备相关行业与领域工程管理类专业人员国家执业资格要求的理论知识；具备鲜活的创新意识和可持续发展理念，树立良好的人文社会科学素养和工程职业道德；培养学生工程建设的法律意识，严谨的工作态度和良好的团队合作意识。</w:t>
      </w:r>
      <w:bookmarkEnd w:id="81"/>
      <w:r>
        <w:rPr>
          <w:rFonts w:hint="eastAsia" w:ascii="宋体" w:hAnsi="宋体" w:eastAsia="宋体" w:cs="Times New Roman"/>
          <w:kern w:val="2"/>
          <w:sz w:val="24"/>
          <w:szCs w:val="24"/>
          <w:u w:val="none"/>
          <w:lang w:val="en-US" w:eastAsia="zh-CN" w:bidi="ar-SA"/>
        </w:rPr>
        <w:t>该课程不仅要给学生传授法律知识，培养运用法律知识的能力，在学生价值观的培育和塑造以及遵纪守法意识的培养方面也具有不可推卸的责任。</w:t>
      </w:r>
    </w:p>
    <w:p>
      <w:pPr>
        <w:ind w:firstLine="480"/>
        <w:rPr>
          <w:rFonts w:hint="eastAsia" w:ascii="宋体" w:hAnsi="宋体"/>
          <w:szCs w:val="24"/>
          <w:u w:val="none"/>
        </w:rPr>
      </w:pPr>
      <w:bookmarkStart w:id="82" w:name="_Toc77759093"/>
      <w:r>
        <w:rPr>
          <w:rFonts w:hint="eastAsia" w:ascii="宋体" w:hAnsi="宋体"/>
          <w:szCs w:val="24"/>
          <w:u w:val="none"/>
        </w:rPr>
        <w:t>（4）房地产开发与经营</w:t>
      </w:r>
      <w:bookmarkEnd w:id="82"/>
    </w:p>
    <w:p>
      <w:pPr>
        <w:ind w:firstLine="480"/>
        <w:rPr>
          <w:rFonts w:hint="eastAsia" w:ascii="宋体" w:hAnsi="宋体" w:eastAsia="宋体" w:cs="Times New Roman"/>
          <w:kern w:val="2"/>
          <w:sz w:val="24"/>
          <w:szCs w:val="24"/>
          <w:u w:val="none"/>
          <w:lang w:val="en-US" w:eastAsia="zh-CN" w:bidi="ar-SA"/>
        </w:rPr>
      </w:pPr>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w:t>
      </w:r>
      <w:r>
        <w:rPr>
          <w:rFonts w:hint="eastAsia" w:ascii="宋体" w:hAnsi="宋体"/>
          <w:szCs w:val="24"/>
          <w:u w:val="none"/>
          <w:lang w:val="en-US" w:eastAsia="zh-CN"/>
        </w:rPr>
        <w:t>该</w:t>
      </w:r>
      <w:r>
        <w:rPr>
          <w:rFonts w:hint="eastAsia" w:ascii="宋体" w:hAnsi="宋体"/>
          <w:szCs w:val="24"/>
          <w:u w:val="none"/>
        </w:rPr>
        <w:t>课程主要通过学习房地产市场调研方法及项目管理。使学生熟知房地产开发的业务范围、作业程序和作业要求，具备物业管理岗位所需的管理知识，能够独立地处理基本业务工作。</w:t>
      </w:r>
      <w:r>
        <w:rPr>
          <w:rFonts w:hint="eastAsia" w:ascii="宋体" w:hAnsi="宋体" w:eastAsia="宋体" w:cs="Times New Roman"/>
          <w:kern w:val="2"/>
          <w:sz w:val="24"/>
          <w:szCs w:val="24"/>
          <w:u w:val="none"/>
          <w:lang w:val="en-US" w:eastAsia="zh-CN" w:bidi="ar-SA"/>
        </w:rPr>
        <w:t>该课程能让学生树立科学设计、科学管理的专业理念以及强烈的社会责任感和严谨认真的工作意识。</w:t>
      </w:r>
    </w:p>
    <w:p>
      <w:pPr>
        <w:ind w:firstLine="480"/>
        <w:rPr>
          <w:rFonts w:hint="eastAsia" w:ascii="宋体" w:hAnsi="宋体"/>
          <w:szCs w:val="24"/>
          <w:u w:val="none"/>
        </w:rPr>
      </w:pPr>
      <w:bookmarkStart w:id="83" w:name="_Toc77759094"/>
      <w:r>
        <w:rPr>
          <w:rFonts w:hint="eastAsia" w:ascii="宋体" w:hAnsi="宋体"/>
          <w:szCs w:val="24"/>
          <w:u w:val="none"/>
        </w:rPr>
        <w:t>（5）房地产营销与策划</w:t>
      </w:r>
      <w:bookmarkEnd w:id="83"/>
    </w:p>
    <w:p>
      <w:pPr>
        <w:ind w:firstLine="480"/>
        <w:rPr>
          <w:rFonts w:hint="eastAsia" w:ascii="宋体" w:hAnsi="宋体"/>
          <w:szCs w:val="24"/>
          <w:u w:val="none"/>
        </w:rPr>
      </w:pPr>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w:t>
      </w:r>
      <w:r>
        <w:rPr>
          <w:rFonts w:hint="eastAsia" w:ascii="宋体" w:hAnsi="宋体"/>
          <w:szCs w:val="24"/>
          <w:u w:val="none"/>
          <w:lang w:val="en-US" w:eastAsia="zh-CN"/>
        </w:rPr>
        <w:t>该</w:t>
      </w:r>
      <w:r>
        <w:rPr>
          <w:rFonts w:hint="eastAsia" w:ascii="宋体" w:hAnsi="宋体"/>
          <w:szCs w:val="24"/>
          <w:u w:val="none"/>
        </w:rPr>
        <w:t>课程主要通过学习房地产营销与策划理论和方法，战略管理理论等基本知识，使学生具备组织建立营销团队的能力；具备能够选择适合的项目或产品，掌握营销策划的理论与流程，提出营销思路；能够系统地根据主题设计研讨方案，具有实地调研的能力并撰写调研报告；具备掌握市场定位的程序、方法和策略，具备市场细分、目标市场选择及定位的能力。</w:t>
      </w:r>
      <w:r>
        <w:rPr>
          <w:rFonts w:hint="eastAsia" w:ascii="宋体" w:hAnsi="宋体" w:eastAsia="宋体" w:cs="Times New Roman"/>
          <w:kern w:val="2"/>
          <w:sz w:val="24"/>
          <w:szCs w:val="24"/>
          <w:u w:val="none"/>
          <w:lang w:val="en-US" w:eastAsia="zh-CN" w:bidi="ar-SA"/>
        </w:rPr>
        <w:t>该课程培养学生树立科学设计、科学管理的专业理念以及强烈的社会责任感和严谨认真的工作意识。</w:t>
      </w:r>
    </w:p>
    <w:p>
      <w:pPr>
        <w:ind w:firstLine="480"/>
        <w:rPr>
          <w:rFonts w:hint="eastAsia" w:ascii="宋体" w:hAnsi="宋体"/>
          <w:szCs w:val="24"/>
          <w:u w:val="none"/>
        </w:rPr>
      </w:pPr>
      <w:bookmarkStart w:id="84" w:name="_Toc77759095"/>
      <w:r>
        <w:rPr>
          <w:rFonts w:hint="eastAsia" w:ascii="宋体" w:hAnsi="宋体"/>
          <w:szCs w:val="24"/>
          <w:u w:val="none"/>
        </w:rPr>
        <w:t>（6）房地产估价</w:t>
      </w:r>
      <w:bookmarkEnd w:id="84"/>
    </w:p>
    <w:p>
      <w:pPr>
        <w:ind w:firstLine="480"/>
        <w:rPr>
          <w:rFonts w:hint="eastAsia" w:ascii="宋体" w:hAnsi="宋体" w:eastAsia="宋体" w:cs="Times New Roman"/>
          <w:kern w:val="2"/>
          <w:sz w:val="24"/>
          <w:szCs w:val="24"/>
          <w:u w:val="none"/>
          <w:lang w:val="en-US" w:eastAsia="zh-CN" w:bidi="ar-SA"/>
        </w:rPr>
      </w:pPr>
      <w:r>
        <w:rPr>
          <w:rFonts w:hint="eastAsia" w:ascii="宋体" w:hAnsi="宋体"/>
          <w:szCs w:val="24"/>
          <w:u w:val="none"/>
        </w:rPr>
        <w:t>本课程</w:t>
      </w:r>
      <w:r>
        <w:rPr>
          <w:rFonts w:hint="eastAsia" w:ascii="宋体" w:hAnsi="宋体"/>
          <w:szCs w:val="24"/>
          <w:u w:val="none"/>
          <w:lang w:val="en-US" w:eastAsia="zh-CN"/>
        </w:rPr>
        <w:t>是</w:t>
      </w:r>
      <w:r>
        <w:rPr>
          <w:rFonts w:hint="eastAsia" w:ascii="宋体" w:hAnsi="宋体" w:eastAsia="宋体"/>
          <w:szCs w:val="24"/>
          <w:u w:val="none"/>
          <w:lang w:val="en-US" w:eastAsia="zh-CN"/>
        </w:rPr>
        <w:t>现代物业管理</w:t>
      </w:r>
      <w:r>
        <w:rPr>
          <w:rFonts w:hint="eastAsia" w:ascii="宋体" w:hAnsi="宋体"/>
          <w:szCs w:val="24"/>
          <w:u w:val="none"/>
        </w:rPr>
        <w:t>专业的</w:t>
      </w:r>
      <w:r>
        <w:rPr>
          <w:rFonts w:hint="eastAsia" w:ascii="宋体" w:hAnsi="宋体"/>
          <w:szCs w:val="24"/>
          <w:u w:val="none"/>
          <w:lang w:val="en-US" w:eastAsia="zh-CN"/>
        </w:rPr>
        <w:t>一门</w:t>
      </w:r>
      <w:r>
        <w:rPr>
          <w:rFonts w:hint="eastAsia" w:ascii="宋体" w:hAnsi="宋体"/>
          <w:szCs w:val="24"/>
          <w:u w:val="none"/>
        </w:rPr>
        <w:t>专业核心课程，</w:t>
      </w:r>
      <w:r>
        <w:rPr>
          <w:rFonts w:hint="eastAsia" w:ascii="宋体" w:hAnsi="宋体"/>
          <w:szCs w:val="24"/>
          <w:u w:val="none"/>
          <w:lang w:val="en-US" w:eastAsia="zh-CN"/>
        </w:rPr>
        <w:t>该</w:t>
      </w:r>
      <w:r>
        <w:rPr>
          <w:rFonts w:hint="eastAsia" w:ascii="宋体" w:hAnsi="宋体"/>
          <w:szCs w:val="24"/>
          <w:u w:val="none"/>
        </w:rPr>
        <w:t>课程通过采用多媒体教学、案例分析、小组讨论、模拟实习等方法，学习房地产估价理论和方法。使学生了解房地产的概念与房地产价格的特征；熟悉房地产估价的原则与房地产价格影响因素；掌握市场比较法、收益法、成本法、假设开发法等房地产评估的基本方法，并能独立运用所学的知识对具体的估价对象进行简单的评估工作。</w:t>
      </w:r>
      <w:r>
        <w:rPr>
          <w:rFonts w:hint="eastAsia" w:ascii="宋体" w:hAnsi="宋体" w:eastAsia="宋体" w:cs="Times New Roman"/>
          <w:kern w:val="2"/>
          <w:sz w:val="24"/>
          <w:szCs w:val="24"/>
          <w:u w:val="none"/>
          <w:lang w:val="en-US" w:eastAsia="zh-CN" w:bidi="ar-SA"/>
        </w:rPr>
        <w:t>该课程培养学生的从业职业素质和能力，加强学生职业道德教育和劳动教育，提升学生职业道德和职业素养，以行动导向式教学培养培养学生务实严谨的职业素养。</w:t>
      </w:r>
      <w:bookmarkEnd w:id="69"/>
      <w:bookmarkEnd w:id="70"/>
      <w:bookmarkEnd w:id="71"/>
      <w:bookmarkEnd w:id="72"/>
      <w:bookmarkEnd w:id="73"/>
      <w:bookmarkEnd w:id="74"/>
      <w:bookmarkEnd w:id="75"/>
      <w:bookmarkEnd w:id="76"/>
    </w:p>
    <w:p>
      <w:pPr>
        <w:ind w:firstLine="482"/>
        <w:outlineLvl w:val="3"/>
        <w:rPr>
          <w:rFonts w:hint="eastAsia" w:ascii="楷体" w:hAnsi="楷体" w:eastAsia="楷体" w:cs="楷体"/>
          <w:b/>
          <w:szCs w:val="24"/>
          <w:u w:val="none"/>
        </w:rPr>
      </w:pPr>
      <w:r>
        <w:rPr>
          <w:rFonts w:hint="eastAsia" w:ascii="楷体" w:hAnsi="楷体" w:eastAsia="楷体" w:cs="楷体"/>
          <w:b/>
          <w:szCs w:val="24"/>
          <w:u w:val="none"/>
        </w:rPr>
        <w:t>4.专业实践</w:t>
      </w:r>
      <w:r>
        <w:rPr>
          <w:rFonts w:hint="eastAsia" w:ascii="楷体" w:hAnsi="楷体" w:eastAsia="楷体" w:cs="楷体"/>
          <w:b/>
          <w:szCs w:val="24"/>
          <w:u w:val="none"/>
          <w:lang w:eastAsia="zh-CN"/>
        </w:rPr>
        <w:t>（</w:t>
      </w:r>
      <w:r>
        <w:rPr>
          <w:rFonts w:hint="eastAsia" w:ascii="楷体" w:hAnsi="楷体" w:eastAsia="楷体" w:cs="楷体"/>
          <w:b/>
          <w:szCs w:val="24"/>
          <w:u w:val="none"/>
          <w:lang w:val="en-US" w:eastAsia="zh-CN"/>
        </w:rPr>
        <w:t>拓展）</w:t>
      </w:r>
      <w:r>
        <w:rPr>
          <w:rFonts w:hint="eastAsia" w:ascii="楷体" w:hAnsi="楷体" w:eastAsia="楷体" w:cs="楷体"/>
          <w:b/>
          <w:szCs w:val="24"/>
          <w:u w:val="none"/>
        </w:rPr>
        <w:t>课程</w:t>
      </w:r>
    </w:p>
    <w:p>
      <w:pPr>
        <w:adjustRightInd w:val="0"/>
        <w:snapToGrid w:val="0"/>
        <w:ind w:firstLine="480"/>
        <w:rPr>
          <w:rFonts w:hint="eastAsia" w:ascii="黑体" w:hAnsi="黑体" w:eastAsia="黑体"/>
          <w:b/>
          <w:sz w:val="21"/>
          <w:szCs w:val="21"/>
          <w:u w:val="none"/>
        </w:rPr>
      </w:pPr>
      <w:r>
        <w:rPr>
          <w:rFonts w:hint="eastAsia"/>
          <w:u w:val="none"/>
        </w:rPr>
        <w:t>本专业实践</w:t>
      </w:r>
      <w:r>
        <w:rPr>
          <w:u w:val="none"/>
        </w:rPr>
        <w:t>课程及其相关</w:t>
      </w:r>
      <w:r>
        <w:rPr>
          <w:rFonts w:hint="eastAsia"/>
          <w:u w:val="none"/>
        </w:rPr>
        <w:t>内容和</w:t>
      </w:r>
      <w:r>
        <w:rPr>
          <w:u w:val="none"/>
        </w:rPr>
        <w:t>要求见表</w:t>
      </w:r>
      <w:r>
        <w:rPr>
          <w:rFonts w:hint="eastAsia"/>
          <w:u w:val="none"/>
        </w:rPr>
        <w:t>6</w:t>
      </w:r>
      <w:r>
        <w:rPr>
          <w:u w:val="none"/>
        </w:rPr>
        <w:t>-</w:t>
      </w:r>
      <w:r>
        <w:rPr>
          <w:rFonts w:hint="eastAsia"/>
          <w:u w:val="none"/>
        </w:rPr>
        <w:t>2。</w:t>
      </w:r>
    </w:p>
    <w:p>
      <w:pPr>
        <w:adjustRightInd w:val="0"/>
        <w:snapToGrid w:val="0"/>
        <w:ind w:firstLine="0" w:firstLineChars="0"/>
        <w:jc w:val="center"/>
        <w:rPr>
          <w:rFonts w:hint="eastAsia" w:ascii="黑体" w:hAnsi="黑体" w:eastAsia="黑体"/>
          <w:b/>
          <w:sz w:val="21"/>
          <w:szCs w:val="21"/>
          <w:u w:val="none"/>
        </w:rPr>
      </w:pPr>
      <w:r>
        <w:rPr>
          <w:rFonts w:hint="eastAsia" w:ascii="黑体" w:hAnsi="黑体" w:eastAsia="黑体"/>
          <w:b/>
          <w:sz w:val="21"/>
          <w:szCs w:val="21"/>
          <w:u w:val="none"/>
        </w:rPr>
        <w:t>表6</w:t>
      </w:r>
      <w:r>
        <w:rPr>
          <w:rFonts w:ascii="黑体" w:hAnsi="黑体" w:eastAsia="黑体"/>
          <w:b/>
          <w:sz w:val="21"/>
          <w:szCs w:val="21"/>
          <w:u w:val="none"/>
        </w:rPr>
        <w:t>-</w:t>
      </w:r>
      <w:r>
        <w:rPr>
          <w:rFonts w:hint="eastAsia" w:ascii="黑体" w:hAnsi="黑体" w:eastAsia="黑体"/>
          <w:b/>
          <w:sz w:val="21"/>
          <w:szCs w:val="21"/>
          <w:u w:val="none"/>
        </w:rPr>
        <w:t>2</w:t>
      </w:r>
      <w:r>
        <w:rPr>
          <w:rFonts w:ascii="黑体" w:hAnsi="黑体" w:eastAsia="黑体"/>
          <w:b/>
          <w:sz w:val="21"/>
          <w:szCs w:val="21"/>
          <w:u w:val="none"/>
        </w:rPr>
        <w:t xml:space="preserve"> </w:t>
      </w:r>
      <w:r>
        <w:rPr>
          <w:rFonts w:hint="eastAsia" w:ascii="黑体" w:hAnsi="黑体" w:eastAsia="黑体"/>
          <w:b/>
          <w:sz w:val="21"/>
          <w:szCs w:val="21"/>
          <w:u w:val="none"/>
        </w:rPr>
        <w:t xml:space="preserve"> 专业</w:t>
      </w:r>
      <w:r>
        <w:rPr>
          <w:rFonts w:ascii="黑体" w:hAnsi="黑体" w:eastAsia="黑体"/>
          <w:b/>
          <w:sz w:val="21"/>
          <w:szCs w:val="21"/>
          <w:u w:val="none"/>
        </w:rPr>
        <w:t>实践课程</w:t>
      </w:r>
      <w:r>
        <w:rPr>
          <w:rFonts w:hint="eastAsia" w:ascii="黑体" w:hAnsi="黑体" w:eastAsia="黑体"/>
          <w:b/>
          <w:sz w:val="21"/>
          <w:szCs w:val="21"/>
          <w:u w:val="none"/>
        </w:rPr>
        <w:t>及其</w:t>
      </w:r>
      <w:r>
        <w:rPr>
          <w:rFonts w:ascii="黑体" w:hAnsi="黑体" w:eastAsia="黑体"/>
          <w:b/>
          <w:sz w:val="21"/>
          <w:szCs w:val="21"/>
          <w:u w:val="none"/>
        </w:rPr>
        <w:t>基本</w:t>
      </w:r>
      <w:r>
        <w:rPr>
          <w:rFonts w:hint="eastAsia" w:ascii="黑体" w:hAnsi="黑体" w:eastAsia="黑体"/>
          <w:b/>
          <w:sz w:val="21"/>
          <w:szCs w:val="21"/>
          <w:u w:val="none"/>
        </w:rPr>
        <w:t>内容</w:t>
      </w:r>
    </w:p>
    <w:tbl>
      <w:tblPr>
        <w:tblStyle w:val="16"/>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blHeader/>
          <w:jc w:val="center"/>
        </w:trPr>
        <w:tc>
          <w:tcPr>
            <w:tcW w:w="1587" w:type="dxa"/>
            <w:noWrap w:val="0"/>
            <w:vAlign w:val="center"/>
          </w:tcPr>
          <w:p>
            <w:pPr>
              <w:spacing w:line="240" w:lineRule="auto"/>
              <w:ind w:firstLine="0" w:firstLineChars="0"/>
              <w:jc w:val="center"/>
              <w:rPr>
                <w:rFonts w:hint="eastAsia" w:ascii="仿宋" w:hAnsi="仿宋" w:eastAsia="仿宋" w:cs="仿宋"/>
                <w:b/>
                <w:sz w:val="21"/>
                <w:szCs w:val="21"/>
                <w:u w:val="none"/>
              </w:rPr>
            </w:pPr>
            <w:r>
              <w:rPr>
                <w:rFonts w:hint="eastAsia" w:ascii="仿宋" w:hAnsi="仿宋" w:eastAsia="仿宋" w:cs="仿宋"/>
                <w:b/>
                <w:sz w:val="21"/>
                <w:szCs w:val="21"/>
                <w:u w:val="none"/>
              </w:rPr>
              <w:t>专业实践</w:t>
            </w:r>
            <w:r>
              <w:rPr>
                <w:rFonts w:hint="eastAsia" w:ascii="仿宋" w:hAnsi="仿宋" w:eastAsia="仿宋" w:cs="仿宋"/>
                <w:b/>
                <w:sz w:val="21"/>
                <w:szCs w:val="21"/>
                <w:u w:val="none"/>
                <w:lang w:val="en-US" w:eastAsia="zh-CN"/>
              </w:rPr>
              <w:t>(拓展）</w:t>
            </w:r>
            <w:r>
              <w:rPr>
                <w:rFonts w:hint="eastAsia" w:ascii="仿宋" w:hAnsi="仿宋" w:eastAsia="仿宋" w:cs="仿宋"/>
                <w:b/>
                <w:sz w:val="21"/>
                <w:szCs w:val="21"/>
                <w:u w:val="none"/>
              </w:rPr>
              <w:t>课程</w:t>
            </w:r>
          </w:p>
        </w:tc>
        <w:tc>
          <w:tcPr>
            <w:tcW w:w="7544" w:type="dxa"/>
            <w:noWrap w:val="0"/>
            <w:vAlign w:val="center"/>
          </w:tcPr>
          <w:p>
            <w:pPr>
              <w:spacing w:line="240" w:lineRule="auto"/>
              <w:ind w:firstLine="0" w:firstLineChars="0"/>
              <w:jc w:val="center"/>
              <w:rPr>
                <w:rFonts w:hint="eastAsia" w:ascii="仿宋" w:hAnsi="仿宋" w:eastAsia="仿宋" w:cs="仿宋"/>
                <w:b/>
                <w:sz w:val="21"/>
                <w:szCs w:val="21"/>
                <w:u w:val="none"/>
              </w:rPr>
            </w:pPr>
            <w:r>
              <w:rPr>
                <w:rFonts w:hint="eastAsia" w:ascii="仿宋" w:hAnsi="仿宋" w:eastAsia="仿宋" w:cs="仿宋"/>
                <w:b/>
                <w:sz w:val="21"/>
                <w:szCs w:val="21"/>
                <w:u w:val="none"/>
              </w:rPr>
              <w:t>基本内容和要求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信息技术应用实训</w:t>
            </w:r>
          </w:p>
        </w:tc>
        <w:tc>
          <w:tcPr>
            <w:tcW w:w="7544" w:type="dxa"/>
            <w:noWrap w:val="0"/>
            <w:vAlign w:val="center"/>
          </w:tcPr>
          <w:p>
            <w:pPr>
              <w:spacing w:line="240" w:lineRule="auto"/>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Windows操作系统应用及文字处理软件的使用练习和Excel操作练习等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建筑、设备认识实习</w:t>
            </w:r>
          </w:p>
        </w:tc>
        <w:tc>
          <w:tcPr>
            <w:tcW w:w="7544" w:type="dxa"/>
            <w:noWrap w:val="0"/>
            <w:vAlign w:val="center"/>
          </w:tcPr>
          <w:p>
            <w:pPr>
              <w:spacing w:line="240" w:lineRule="auto"/>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通过参观在建建筑工程，了解建筑、结构、设备设计及施工的基本知识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建筑工程识图与构造实训</w:t>
            </w:r>
          </w:p>
        </w:tc>
        <w:tc>
          <w:tcPr>
            <w:tcW w:w="7544" w:type="dxa"/>
            <w:noWrap w:val="0"/>
            <w:vAlign w:val="center"/>
          </w:tcPr>
          <w:p>
            <w:pPr>
              <w:spacing w:line="240" w:lineRule="auto"/>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培养学生应用CAD识读专业图的能力，通过实训，要求准确识读建筑施工图、结构施工图、建筑设备施工图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1587" w:type="dxa"/>
            <w:noWrap w:val="0"/>
            <w:vAlign w:val="center"/>
          </w:tcPr>
          <w:p>
            <w:pPr>
              <w:spacing w:line="320" w:lineRule="exact"/>
              <w:ind w:left="-2" w:leftChars="-1" w:firstLine="0" w:firstLineChars="0"/>
              <w:jc w:val="center"/>
              <w:rPr>
                <w:rFonts w:hint="eastAsia" w:ascii="仿宋" w:hAnsi="仿宋" w:eastAsia="仿宋" w:cs="仿宋"/>
                <w:sz w:val="21"/>
                <w:szCs w:val="21"/>
                <w:u w:val="none"/>
              </w:rPr>
            </w:pPr>
            <w:r>
              <w:rPr>
                <w:rFonts w:hint="eastAsia" w:ascii="仿宋" w:hAnsi="仿宋" w:eastAsia="仿宋" w:cs="仿宋"/>
                <w:bCs/>
                <w:color w:val="000000"/>
                <w:kern w:val="0"/>
                <w:sz w:val="21"/>
                <w:szCs w:val="21"/>
                <w:u w:val="none"/>
                <w:lang w:bidi="ar"/>
              </w:rPr>
              <w:t>房地产开发与经营</w:t>
            </w:r>
            <w:r>
              <w:rPr>
                <w:rFonts w:hint="eastAsia" w:ascii="仿宋" w:hAnsi="仿宋" w:eastAsia="仿宋" w:cs="仿宋"/>
                <w:sz w:val="21"/>
                <w:szCs w:val="21"/>
                <w:u w:val="none"/>
              </w:rPr>
              <w:t>实训</w:t>
            </w:r>
          </w:p>
        </w:tc>
        <w:tc>
          <w:tcPr>
            <w:tcW w:w="7544" w:type="dxa"/>
            <w:noWrap w:val="0"/>
            <w:vAlign w:val="center"/>
          </w:tcPr>
          <w:p>
            <w:pPr>
              <w:spacing w:line="240" w:lineRule="auto"/>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通过实训检测课堂理论教学，理论教学与实训相互辅助补充，旨在对理论知识进行应用性实践，从而掌握并熟悉房地产营销对工作流程、营销技巧以及销售物业管理工作，要求学生具备房地产开发与经营管理能力，毕业后能进行房地产项目对开发全程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物业模拟实训</w:t>
            </w:r>
          </w:p>
        </w:tc>
        <w:tc>
          <w:tcPr>
            <w:tcW w:w="7544" w:type="dxa"/>
            <w:noWrap w:val="0"/>
            <w:vAlign w:val="center"/>
          </w:tcPr>
          <w:p>
            <w:pPr>
              <w:spacing w:line="320" w:lineRule="exact"/>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系统的掌握物业管理公司具体从事对具体服务管理工作，提升理论结合实际的工作能力，掌握现代物业管理技术和技能，在物业管理、房地产领域胜任专业工作的训练，具体锻炼学生物业服务管理、房地产企业对物业服务、开发管理、物业营销等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建设工程造价管理与投资审计</w:t>
            </w:r>
          </w:p>
        </w:tc>
        <w:tc>
          <w:tcPr>
            <w:tcW w:w="7544" w:type="dxa"/>
            <w:noWrap w:val="0"/>
            <w:vAlign w:val="center"/>
          </w:tcPr>
          <w:p>
            <w:pPr>
              <w:spacing w:line="320" w:lineRule="exact"/>
              <w:ind w:left="-2" w:leftChars="-1" w:firstLine="420"/>
              <w:jc w:val="left"/>
              <w:rPr>
                <w:rFonts w:hint="eastAsia" w:ascii="仿宋" w:hAnsi="仿宋" w:eastAsia="仿宋" w:cs="仿宋"/>
                <w:sz w:val="21"/>
                <w:szCs w:val="21"/>
                <w:u w:val="none"/>
              </w:rPr>
            </w:pPr>
            <w:r>
              <w:rPr>
                <w:rFonts w:hint="eastAsia" w:ascii="仿宋" w:hAnsi="仿宋" w:eastAsia="仿宋" w:cs="仿宋"/>
                <w:sz w:val="21"/>
                <w:szCs w:val="21"/>
                <w:u w:val="none"/>
              </w:rPr>
              <w:t>学生要掌握在建设工程的各个阶段进行工程造价的确定与控制的基本原理和方法，具备从事工程造价全过程管理、全面管理的基本能力，进一步提升学生独立分析问题和解决工程造价管理实际问题的能力。该课程不仅要给学生传授造价管理和投资审计的知识技能，在学生价值观的培育和塑造以及遵纪守法意识的培养方面也具有不可推卸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87" w:type="dxa"/>
            <w:noWrap w:val="0"/>
            <w:vAlign w:val="center"/>
          </w:tcPr>
          <w:p>
            <w:pPr>
              <w:spacing w:line="320" w:lineRule="exact"/>
              <w:ind w:left="-2"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技能鉴定</w:t>
            </w:r>
          </w:p>
        </w:tc>
        <w:tc>
          <w:tcPr>
            <w:tcW w:w="7544" w:type="dxa"/>
            <w:noWrap w:val="0"/>
            <w:vAlign w:val="center"/>
          </w:tcPr>
          <w:p>
            <w:pPr>
              <w:spacing w:line="320" w:lineRule="exact"/>
              <w:ind w:left="-2" w:firstLine="0" w:firstLineChars="0"/>
              <w:jc w:val="left"/>
              <w:rPr>
                <w:rFonts w:hint="eastAsia" w:ascii="仿宋" w:hAnsi="仿宋" w:eastAsia="仿宋" w:cs="仿宋"/>
                <w:sz w:val="21"/>
                <w:szCs w:val="21"/>
                <w:u w:val="none"/>
              </w:rPr>
            </w:pPr>
            <w:r>
              <w:rPr>
                <w:rFonts w:hint="eastAsia" w:ascii="仿宋" w:hAnsi="仿宋" w:eastAsia="仿宋" w:cs="仿宋"/>
                <w:sz w:val="21"/>
                <w:szCs w:val="21"/>
                <w:u w:val="none"/>
              </w:rPr>
              <w:t xml:space="preserve">    学习相应工种的知识，并通过考试获得相应工种的职业资格证书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atLeast"/>
          <w:jc w:val="center"/>
        </w:trPr>
        <w:tc>
          <w:tcPr>
            <w:tcW w:w="1587" w:type="dxa"/>
            <w:noWrap w:val="0"/>
            <w:vAlign w:val="center"/>
          </w:tcPr>
          <w:p>
            <w:pPr>
              <w:spacing w:line="320" w:lineRule="exact"/>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毕业综合实训</w:t>
            </w:r>
          </w:p>
        </w:tc>
        <w:tc>
          <w:tcPr>
            <w:tcW w:w="7544" w:type="dxa"/>
            <w:noWrap w:val="0"/>
            <w:vAlign w:val="center"/>
          </w:tcPr>
          <w:p>
            <w:pPr>
              <w:spacing w:line="320" w:lineRule="exact"/>
              <w:ind w:left="-2" w:leftChars="-1" w:firstLine="0" w:firstLineChars="0"/>
              <w:jc w:val="left"/>
              <w:rPr>
                <w:rFonts w:hint="eastAsia" w:ascii="仿宋" w:hAnsi="仿宋" w:eastAsia="仿宋" w:cs="仿宋"/>
                <w:sz w:val="21"/>
                <w:szCs w:val="21"/>
                <w:u w:val="none"/>
              </w:rPr>
            </w:pPr>
            <w:r>
              <w:rPr>
                <w:rFonts w:hint="eastAsia" w:ascii="仿宋" w:hAnsi="仿宋" w:eastAsia="仿宋" w:cs="仿宋"/>
                <w:sz w:val="21"/>
                <w:szCs w:val="21"/>
                <w:u w:val="none"/>
              </w:rPr>
              <w:t xml:space="preserve">    通过毕业实训，使学生对所学的专业知识有一次较为全面、综合应用的机会，从而培养学生综合分析和解决问题的能力、组织管理和社交能力，培养学生独立工作的能力，为学生将来顺利完成所承担的任务奠定基础</w:t>
            </w:r>
          </w:p>
        </w:tc>
      </w:tr>
    </w:tbl>
    <w:p>
      <w:pPr>
        <w:ind w:firstLine="562"/>
        <w:outlineLvl w:val="0"/>
        <w:rPr>
          <w:rFonts w:hint="eastAsia" w:ascii="Calibri" w:hAnsi="Calibri" w:eastAsia="黑体"/>
          <w:b/>
          <w:kern w:val="44"/>
          <w:sz w:val="28"/>
          <w:u w:val="none"/>
        </w:rPr>
      </w:pPr>
      <w:r>
        <w:rPr>
          <w:rFonts w:hint="eastAsia" w:ascii="Calibri" w:hAnsi="Calibri" w:eastAsia="黑体"/>
          <w:b/>
          <w:kern w:val="44"/>
          <w:sz w:val="28"/>
          <w:u w:val="none"/>
        </w:rPr>
        <w:br w:type="page"/>
      </w:r>
      <w:bookmarkStart w:id="85" w:name="_Toc22696"/>
      <w:r>
        <w:rPr>
          <w:rFonts w:hint="eastAsia" w:ascii="Calibri" w:hAnsi="Calibri" w:eastAsia="黑体"/>
          <w:b/>
          <w:kern w:val="44"/>
          <w:sz w:val="28"/>
          <w:u w:val="none"/>
        </w:rPr>
        <w:t>七、教学进程总体安排</w:t>
      </w:r>
      <w:bookmarkEnd w:id="85"/>
    </w:p>
    <w:p>
      <w:pPr>
        <w:ind w:firstLine="0" w:firstLineChars="0"/>
        <w:jc w:val="center"/>
        <w:rPr>
          <w:rFonts w:hint="eastAsia" w:ascii="黑体" w:hAnsi="黑体" w:eastAsia="黑体" w:cs="黑体"/>
          <w:b/>
          <w:bCs/>
          <w:kern w:val="0"/>
          <w:sz w:val="21"/>
          <w:szCs w:val="21"/>
          <w:u w:val="none"/>
        </w:rPr>
      </w:pPr>
      <w:r>
        <w:rPr>
          <w:rFonts w:hint="eastAsia" w:ascii="黑体" w:hAnsi="黑体" w:eastAsia="黑体" w:cs="黑体"/>
          <w:b/>
          <w:sz w:val="21"/>
          <w:szCs w:val="21"/>
          <w:u w:val="none"/>
        </w:rPr>
        <w:t>表7-1  现代物业管理专业</w:t>
      </w:r>
      <w:r>
        <w:rPr>
          <w:rFonts w:hint="eastAsia" w:ascii="黑体" w:hAnsi="黑体" w:eastAsia="黑体" w:cs="黑体"/>
          <w:b/>
          <w:bCs/>
          <w:kern w:val="0"/>
          <w:sz w:val="21"/>
          <w:szCs w:val="21"/>
          <w:u w:val="none"/>
        </w:rPr>
        <w:t>教学进程总体安排表</w:t>
      </w:r>
      <w:r>
        <w:rPr>
          <w:rFonts w:hint="eastAsia" w:ascii="黑体" w:hAnsi="黑体" w:eastAsia="黑体" w:cs="黑体"/>
          <w:b/>
          <w:bCs/>
          <w:kern w:val="0"/>
          <w:sz w:val="21"/>
          <w:szCs w:val="21"/>
          <w:u w:val="none"/>
        </w:rPr>
        <w:fldChar w:fldCharType="begin"/>
      </w:r>
      <w:r>
        <w:rPr>
          <w:u w:val="none"/>
        </w:rPr>
        <w:instrText xml:space="preserve"> LINK Excel.Sheet.12 "E:\\安审工作\\教学工作\\人才培养方案\\2021级现代物业管理人才培养方案\\现代物业管理专业人才培养方案6.10\\现代物业管理教学进程表.xlsx" "2.5+0.5(17)!R2C5:R51C18" \h \a  \* MERGEFORMAT</w:instrText>
      </w:r>
      <w:r>
        <w:rPr>
          <w:rFonts w:hint="eastAsia" w:ascii="黑体" w:hAnsi="黑体" w:eastAsia="黑体" w:cs="黑体"/>
          <w:b/>
          <w:bCs/>
          <w:kern w:val="0"/>
          <w:sz w:val="21"/>
          <w:szCs w:val="21"/>
          <w:u w:val="none"/>
        </w:rPr>
        <w:fldChar w:fldCharType="separate"/>
      </w:r>
    </w:p>
    <w:tbl>
      <w:tblPr>
        <w:tblStyle w:val="16"/>
        <w:tblW w:w="4998" w:type="pct"/>
        <w:jc w:val="center"/>
        <w:tblLayout w:type="fixed"/>
        <w:tblCellMar>
          <w:top w:w="0" w:type="dxa"/>
          <w:left w:w="0" w:type="dxa"/>
          <w:bottom w:w="0" w:type="dxa"/>
          <w:right w:w="0" w:type="dxa"/>
        </w:tblCellMar>
      </w:tblPr>
      <w:tblGrid>
        <w:gridCol w:w="370"/>
        <w:gridCol w:w="342"/>
        <w:gridCol w:w="2620"/>
        <w:gridCol w:w="346"/>
        <w:gridCol w:w="491"/>
        <w:gridCol w:w="704"/>
        <w:gridCol w:w="639"/>
        <w:gridCol w:w="704"/>
        <w:gridCol w:w="522"/>
        <w:gridCol w:w="408"/>
        <w:gridCol w:w="457"/>
        <w:gridCol w:w="506"/>
        <w:gridCol w:w="506"/>
        <w:gridCol w:w="484"/>
      </w:tblGrid>
      <w:tr>
        <w:tblPrEx>
          <w:tblCellMar>
            <w:top w:w="0" w:type="dxa"/>
            <w:left w:w="0" w:type="dxa"/>
            <w:bottom w:w="0" w:type="dxa"/>
            <w:right w:w="0" w:type="dxa"/>
          </w:tblCellMar>
        </w:tblPrEx>
        <w:trPr>
          <w:trHeight w:val="278" w:hRule="atLeast"/>
          <w:jc w:val="center"/>
        </w:trPr>
        <w:tc>
          <w:tcPr>
            <w:tcW w:w="203" w:type="pct"/>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after="240" w:line="240" w:lineRule="auto"/>
              <w:ind w:firstLine="0" w:firstLineChars="0"/>
              <w:rPr>
                <w:rFonts w:hint="eastAsia" w:ascii="仿宋" w:hAnsi="仿宋" w:eastAsia="仿宋" w:cs="仿宋"/>
                <w:b/>
                <w:bCs/>
                <w:color w:val="000000"/>
                <w:sz w:val="21"/>
                <w:szCs w:val="21"/>
                <w:u w:val="none"/>
              </w:rPr>
            </w:pPr>
            <w:r>
              <w:rPr>
                <w:rFonts w:hint="eastAsia" w:ascii="黑体" w:hAnsi="黑体" w:eastAsia="黑体" w:cs="黑体"/>
                <w:b/>
                <w:bCs/>
                <w:kern w:val="0"/>
                <w:sz w:val="21"/>
                <w:szCs w:val="21"/>
                <w:u w:val="none"/>
              </w:rPr>
              <w:fldChar w:fldCharType="end"/>
            </w:r>
            <w:r>
              <w:rPr>
                <w:rFonts w:hint="eastAsia" w:ascii="仿宋" w:hAnsi="仿宋" w:eastAsia="仿宋" w:cs="仿宋"/>
                <w:b/>
                <w:bCs/>
                <w:color w:val="000000"/>
                <w:kern w:val="0"/>
                <w:sz w:val="21"/>
                <w:szCs w:val="21"/>
                <w:u w:val="none"/>
                <w:lang w:bidi="ar"/>
              </w:rPr>
              <w:t>课程性质</w:t>
            </w:r>
          </w:p>
        </w:tc>
        <w:tc>
          <w:tcPr>
            <w:tcW w:w="187" w:type="pct"/>
            <w:vMerge w:val="restart"/>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widowControl/>
              <w:spacing w:after="240"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课程性质</w:t>
            </w:r>
          </w:p>
        </w:tc>
        <w:tc>
          <w:tcPr>
            <w:tcW w:w="1439" w:type="pct"/>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40"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课程名称</w:t>
            </w:r>
          </w:p>
        </w:tc>
        <w:tc>
          <w:tcPr>
            <w:tcW w:w="190" w:type="pct"/>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40"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考核方式</w:t>
            </w:r>
          </w:p>
        </w:tc>
        <w:tc>
          <w:tcPr>
            <w:tcW w:w="2978" w:type="pct"/>
            <w:gridSpan w:val="10"/>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240"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学期周学时及周数分配</w:t>
            </w:r>
          </w:p>
        </w:tc>
      </w:tr>
      <w:tr>
        <w:tblPrEx>
          <w:tblCellMar>
            <w:top w:w="0" w:type="dxa"/>
            <w:left w:w="0" w:type="dxa"/>
            <w:bottom w:w="0" w:type="dxa"/>
            <w:right w:w="0" w:type="dxa"/>
          </w:tblCellMar>
        </w:tblPrEx>
        <w:trPr>
          <w:trHeight w:val="312" w:hRule="atLeast"/>
          <w:jc w:val="center"/>
        </w:trPr>
        <w:tc>
          <w:tcPr>
            <w:tcW w:w="203" w:type="pct"/>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90"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9" w:type="pct"/>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学分</w:t>
            </w:r>
          </w:p>
        </w:tc>
        <w:tc>
          <w:tcPr>
            <w:tcW w:w="386" w:type="pct"/>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总学时</w:t>
            </w:r>
          </w:p>
        </w:tc>
        <w:tc>
          <w:tcPr>
            <w:tcW w:w="351" w:type="pct"/>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理论</w:t>
            </w:r>
          </w:p>
        </w:tc>
        <w:tc>
          <w:tcPr>
            <w:tcW w:w="386" w:type="pct"/>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实践</w:t>
            </w:r>
          </w:p>
        </w:tc>
        <w:tc>
          <w:tcPr>
            <w:tcW w:w="286" w:type="pct"/>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一</w:t>
            </w:r>
          </w:p>
        </w:tc>
        <w:tc>
          <w:tcPr>
            <w:tcW w:w="224" w:type="pct"/>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Style w:val="32"/>
                <w:rFonts w:hint="default" w:ascii="仿宋" w:hAnsi="仿宋" w:eastAsia="仿宋" w:cs="仿宋"/>
                <w:bCs/>
                <w:sz w:val="21"/>
                <w:szCs w:val="21"/>
                <w:u w:val="none"/>
                <w:lang w:bidi="ar"/>
              </w:rPr>
              <w:t>二</w:t>
            </w:r>
          </w:p>
        </w:tc>
        <w:tc>
          <w:tcPr>
            <w:tcW w:w="251" w:type="pct"/>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Style w:val="32"/>
                <w:rFonts w:hint="default" w:ascii="仿宋" w:hAnsi="仿宋" w:eastAsia="仿宋" w:cs="仿宋"/>
                <w:bCs/>
                <w:sz w:val="21"/>
                <w:szCs w:val="21"/>
                <w:u w:val="none"/>
                <w:lang w:bidi="ar"/>
              </w:rPr>
              <w:t>三</w:t>
            </w:r>
          </w:p>
        </w:tc>
        <w:tc>
          <w:tcPr>
            <w:tcW w:w="278" w:type="pct"/>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Style w:val="32"/>
                <w:rFonts w:hint="default" w:ascii="仿宋" w:hAnsi="仿宋" w:eastAsia="仿宋" w:cs="仿宋"/>
                <w:bCs/>
                <w:sz w:val="21"/>
                <w:szCs w:val="21"/>
                <w:u w:val="none"/>
                <w:lang w:bidi="ar"/>
              </w:rPr>
              <w:t>四</w:t>
            </w:r>
          </w:p>
        </w:tc>
        <w:tc>
          <w:tcPr>
            <w:tcW w:w="278" w:type="pct"/>
            <w:vMerge w:val="restart"/>
            <w:tcBorders>
              <w:top w:val="nil"/>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五</w:t>
            </w:r>
          </w:p>
        </w:tc>
        <w:tc>
          <w:tcPr>
            <w:tcW w:w="265" w:type="pct"/>
            <w:vMerge w:val="restart"/>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Style w:val="32"/>
                <w:rFonts w:hint="default" w:ascii="仿宋" w:hAnsi="仿宋" w:eastAsia="仿宋" w:cs="仿宋"/>
                <w:bCs/>
                <w:sz w:val="21"/>
                <w:szCs w:val="21"/>
                <w:u w:val="none"/>
                <w:lang w:bidi="ar"/>
              </w:rPr>
              <w:t>六</w:t>
            </w:r>
          </w:p>
        </w:tc>
      </w:tr>
      <w:tr>
        <w:tblPrEx>
          <w:tblCellMar>
            <w:top w:w="0" w:type="dxa"/>
            <w:left w:w="0" w:type="dxa"/>
            <w:bottom w:w="0" w:type="dxa"/>
            <w:right w:w="0" w:type="dxa"/>
          </w:tblCellMar>
        </w:tblPrEx>
        <w:trPr>
          <w:trHeight w:val="468" w:hRule="atLeast"/>
          <w:jc w:val="center"/>
        </w:trPr>
        <w:tc>
          <w:tcPr>
            <w:tcW w:w="203" w:type="pct"/>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439"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90"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69"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86"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51"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86"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86" w:type="pct"/>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24"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51"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78"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78" w:type="pct"/>
            <w:vMerge w:val="continue"/>
            <w:tcBorders>
              <w:top w:val="nil"/>
              <w:left w:val="single" w:color="000000" w:sz="4" w:space="0"/>
              <w:bottom w:val="single" w:color="000000" w:sz="4" w:space="0"/>
              <w:right w:val="nil"/>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65" w:type="pct"/>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68" w:hRule="atLeast"/>
          <w:jc w:val="center"/>
        </w:trPr>
        <w:tc>
          <w:tcPr>
            <w:tcW w:w="203" w:type="pct"/>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439"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190" w:type="pct"/>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69"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86"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51"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386" w:type="pct"/>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86" w:type="pct"/>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24"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51"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78"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78" w:type="pct"/>
            <w:vMerge w:val="continue"/>
            <w:tcBorders>
              <w:top w:val="nil"/>
              <w:left w:val="single" w:color="000000" w:sz="4" w:space="0"/>
              <w:bottom w:val="single" w:color="auto" w:sz="4" w:space="0"/>
              <w:right w:val="nil"/>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c>
          <w:tcPr>
            <w:tcW w:w="265" w:type="pct"/>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widowControl/>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63" w:hRule="atLeast"/>
          <w:jc w:val="center"/>
        </w:trPr>
        <w:tc>
          <w:tcPr>
            <w:tcW w:w="203" w:type="pct"/>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公共课</w:t>
            </w:r>
          </w:p>
        </w:tc>
        <w:tc>
          <w:tcPr>
            <w:tcW w:w="187"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公共基础课</w:t>
            </w: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思想道德与法治</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48</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8</w:t>
            </w:r>
          </w:p>
        </w:tc>
        <w:tc>
          <w:tcPr>
            <w:tcW w:w="2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p>
        </w:tc>
        <w:tc>
          <w:tcPr>
            <w:tcW w:w="265" w:type="pct"/>
            <w:vMerge w:val="restart"/>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eastAsia="zh-CN" w:bidi="ar"/>
              </w:rPr>
            </w:pPr>
            <w:r>
              <w:rPr>
                <w:rFonts w:hint="eastAsia" w:ascii="仿宋" w:hAnsi="仿宋" w:eastAsia="仿宋" w:cs="仿宋"/>
                <w:bCs/>
                <w:color w:val="000000"/>
                <w:kern w:val="0"/>
                <w:sz w:val="21"/>
                <w:szCs w:val="21"/>
                <w:u w:val="none"/>
                <w:lang w:eastAsia="zh-CN" w:bidi="ar"/>
              </w:rPr>
              <w:t>岗位</w:t>
            </w:r>
            <w:r>
              <w:rPr>
                <w:rFonts w:hint="eastAsia" w:ascii="仿宋" w:hAnsi="仿宋" w:eastAsia="仿宋" w:cs="仿宋"/>
                <w:bCs/>
                <w:color w:val="000000"/>
                <w:kern w:val="0"/>
                <w:sz w:val="21"/>
                <w:szCs w:val="21"/>
                <w:u w:val="none"/>
                <w:lang w:bidi="ar"/>
              </w:rPr>
              <w:t>实习（</w:t>
            </w:r>
          </w:p>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综合实训）</w:t>
            </w:r>
          </w:p>
        </w:tc>
      </w:tr>
      <w:tr>
        <w:tblPrEx>
          <w:tblCellMar>
            <w:top w:w="0" w:type="dxa"/>
            <w:left w:w="0" w:type="dxa"/>
            <w:bottom w:w="0" w:type="dxa"/>
            <w:right w:w="0" w:type="dxa"/>
          </w:tblCellMar>
        </w:tblPrEx>
        <w:trPr>
          <w:trHeight w:val="26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毛泽东思想和中国特色社会主义理论体系概论</w:t>
            </w:r>
          </w:p>
        </w:tc>
        <w:tc>
          <w:tcPr>
            <w:tcW w:w="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试</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36</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30</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6</w:t>
            </w:r>
          </w:p>
        </w:tc>
        <w:tc>
          <w:tcPr>
            <w:tcW w:w="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2</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r>
      <w:tr>
        <w:tblPrEx>
          <w:tblCellMar>
            <w:top w:w="0" w:type="dxa"/>
            <w:left w:w="0" w:type="dxa"/>
            <w:bottom w:w="0" w:type="dxa"/>
            <w:right w:w="0" w:type="dxa"/>
          </w:tblCellMar>
        </w:tblPrEx>
        <w:trPr>
          <w:trHeight w:val="26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习近平新时代中国特色社会主义思想概论</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48</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8</w:t>
            </w:r>
          </w:p>
        </w:tc>
        <w:tc>
          <w:tcPr>
            <w:tcW w:w="28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w:t>
            </w:r>
          </w:p>
        </w:tc>
        <w:tc>
          <w:tcPr>
            <w:tcW w:w="224"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ind w:firstLine="0" w:firstLineChars="0"/>
              <w:textAlignment w:val="center"/>
              <w:rPr>
                <w:rFonts w:hint="eastAsia" w:ascii="仿宋" w:hAnsi="仿宋" w:eastAsia="仿宋" w:cs="仿宋"/>
                <w:color w:val="000000"/>
                <w:kern w:val="0"/>
                <w:sz w:val="21"/>
                <w:szCs w:val="21"/>
                <w:u w:val="none"/>
                <w:lang w:bidi="ar"/>
              </w:rPr>
            </w:pPr>
          </w:p>
        </w:tc>
        <w:tc>
          <w:tcPr>
            <w:tcW w:w="25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ind w:firstLine="0" w:firstLineChars="0"/>
              <w:textAlignment w:val="center"/>
              <w:rPr>
                <w:rFonts w:hint="eastAsia" w:ascii="仿宋" w:hAnsi="仿宋" w:eastAsia="仿宋" w:cs="仿宋"/>
                <w:color w:val="000000"/>
                <w:kern w:val="0"/>
                <w:sz w:val="21"/>
                <w:szCs w:val="21"/>
                <w:u w:val="none"/>
                <w:lang w:bidi="ar"/>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ind w:firstLine="0" w:firstLineChars="0"/>
              <w:textAlignment w:val="center"/>
              <w:rPr>
                <w:rFonts w:hint="eastAsia" w:ascii="仿宋" w:hAnsi="仿宋" w:eastAsia="仿宋" w:cs="仿宋"/>
                <w:color w:val="000000"/>
                <w:kern w:val="0"/>
                <w:sz w:val="21"/>
                <w:szCs w:val="21"/>
                <w:u w:val="none"/>
                <w:lang w:bidi="ar"/>
              </w:rPr>
            </w:pP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r>
      <w:tr>
        <w:tblPrEx>
          <w:tblCellMar>
            <w:top w:w="0" w:type="dxa"/>
            <w:left w:w="0" w:type="dxa"/>
            <w:bottom w:w="0" w:type="dxa"/>
            <w:right w:w="0" w:type="dxa"/>
          </w:tblCellMar>
        </w:tblPrEx>
        <w:trPr>
          <w:trHeight w:val="26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形势与政策</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48</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12</w:t>
            </w:r>
          </w:p>
        </w:tc>
        <w:tc>
          <w:tcPr>
            <w:tcW w:w="1040" w:type="pct"/>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ind w:firstLine="0" w:firstLineChars="0"/>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u w:val="none"/>
                <w:lang w:bidi="ar"/>
              </w:rPr>
              <w:t>每学期开设8课时</w:t>
            </w: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r>
      <w:tr>
        <w:tblPrEx>
          <w:tblCellMar>
            <w:top w:w="0" w:type="dxa"/>
            <w:left w:w="0" w:type="dxa"/>
            <w:bottom w:w="0" w:type="dxa"/>
            <w:right w:w="0" w:type="dxa"/>
          </w:tblCellMar>
        </w:tblPrEx>
        <w:trPr>
          <w:trHeight w:val="26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val="en-US" w:eastAsia="zh-CN" w:bidi="ar"/>
              </w:rPr>
              <w:t>中共党史</w:t>
            </w:r>
          </w:p>
        </w:tc>
        <w:tc>
          <w:tcPr>
            <w:tcW w:w="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查</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2</w:t>
            </w: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36</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30</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192"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lang w:bidi="ar"/>
              </w:rPr>
              <w:t>6</w:t>
            </w:r>
          </w:p>
        </w:tc>
        <w:tc>
          <w:tcPr>
            <w:tcW w:w="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192" w:lineRule="auto"/>
              <w:ind w:firstLine="420" w:firstLineChars="200"/>
              <w:jc w:val="center"/>
              <w:rPr>
                <w:rFonts w:hint="eastAsia" w:ascii="仿宋" w:hAnsi="仿宋" w:eastAsia="仿宋" w:cs="仿宋"/>
                <w:bCs/>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192" w:lineRule="auto"/>
              <w:ind w:firstLine="0" w:firstLineChars="0"/>
              <w:jc w:val="center"/>
              <w:textAlignment w:val="center"/>
              <w:rPr>
                <w:rFonts w:hint="eastAsia" w:ascii="仿宋" w:hAnsi="仿宋" w:eastAsia="仿宋" w:cs="仿宋"/>
                <w:bCs/>
                <w:sz w:val="21"/>
                <w:szCs w:val="21"/>
                <w:u w:val="none"/>
              </w:rPr>
            </w:pPr>
            <w:r>
              <w:rPr>
                <w:rFonts w:hint="eastAsia" w:ascii="仿宋" w:hAnsi="仿宋" w:eastAsia="仿宋" w:cs="仿宋"/>
                <w:color w:val="000000"/>
                <w:kern w:val="0"/>
                <w:sz w:val="21"/>
                <w:szCs w:val="21"/>
                <w:lang w:val="en-US" w:eastAsia="zh-CN" w:bidi="ar"/>
              </w:rPr>
              <w:t>2</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r>
      <w:tr>
        <w:tblPrEx>
          <w:tblCellMar>
            <w:top w:w="0" w:type="dxa"/>
            <w:left w:w="0" w:type="dxa"/>
            <w:bottom w:w="0" w:type="dxa"/>
            <w:right w:w="0" w:type="dxa"/>
          </w:tblCellMar>
        </w:tblPrEx>
        <w:trPr>
          <w:trHeight w:val="26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军事理论</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2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军事技能</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112</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112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2周</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left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心理健康教育</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8</w:t>
            </w:r>
          </w:p>
        </w:tc>
        <w:tc>
          <w:tcPr>
            <w:tcW w:w="1040" w:type="pct"/>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adjustRightInd w:val="0"/>
              <w:snapToGrid w:val="0"/>
              <w:spacing w:line="192" w:lineRule="auto"/>
              <w:ind w:firstLine="0" w:firstLineChars="0"/>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u w:val="none"/>
                <w:lang w:bidi="ar"/>
              </w:rPr>
              <w:t>第一学期开设12课时，第二学期开设20课时</w:t>
            </w:r>
          </w:p>
        </w:tc>
        <w:tc>
          <w:tcPr>
            <w:tcW w:w="278" w:type="pct"/>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9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职业发展与就业指导</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1040" w:type="pct"/>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adjustRightInd w:val="0"/>
              <w:snapToGrid w:val="0"/>
              <w:spacing w:line="192" w:lineRule="auto"/>
              <w:ind w:firstLine="0" w:firstLineChars="0"/>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u w:val="none"/>
                <w:lang w:bidi="ar"/>
              </w:rPr>
              <w:t>第一至四学期各开18节，第五学期开4节讲座</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r>
              <w:rPr>
                <w:rFonts w:hint="eastAsia" w:ascii="仿宋" w:hAnsi="仿宋" w:eastAsia="仿宋" w:cs="仿宋"/>
                <w:bCs/>
                <w:color w:val="000000"/>
                <w:sz w:val="21"/>
                <w:szCs w:val="21"/>
                <w:u w:val="none"/>
                <w:lang w:val="en-US" w:eastAsia="zh-CN"/>
              </w:rPr>
              <w:t>讲座4课时</w:t>
            </w: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高等数学</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136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英语</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100</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信息技术基础</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64</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体育</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68</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64</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2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highlight w:val="red"/>
                <w:u w:val="none"/>
              </w:rPr>
            </w:pPr>
            <w:r>
              <w:rPr>
                <w:rFonts w:hint="eastAsia" w:ascii="仿宋" w:hAnsi="仿宋" w:eastAsia="仿宋" w:cs="仿宋"/>
                <w:bCs/>
                <w:color w:val="000000"/>
                <w:sz w:val="21"/>
                <w:szCs w:val="21"/>
                <w:u w:val="none"/>
              </w:rPr>
              <w:t>大学语文</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5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建筑美学鉴赏</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7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0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劳动教育</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1040"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192" w:lineRule="auto"/>
              <w:ind w:firstLine="0" w:firstLineChars="0"/>
              <w:textAlignment w:val="center"/>
              <w:rPr>
                <w:rFonts w:hint="eastAsia" w:ascii="仿宋" w:hAnsi="仿宋" w:eastAsia="仿宋" w:cs="仿宋"/>
                <w:bCs/>
                <w:color w:val="000000"/>
                <w:sz w:val="21"/>
                <w:szCs w:val="21"/>
                <w:u w:val="none"/>
              </w:rPr>
            </w:pPr>
            <w:r>
              <w:rPr>
                <w:rFonts w:hint="eastAsia" w:ascii="仿宋" w:hAnsi="仿宋" w:eastAsia="仿宋" w:cs="仿宋"/>
                <w:color w:val="000000"/>
                <w:kern w:val="0"/>
                <w:sz w:val="21"/>
                <w:szCs w:val="21"/>
                <w:u w:val="none"/>
                <w:lang w:bidi="ar"/>
              </w:rPr>
              <w:t>大一每学期开设8课时，其中6课时理论，2课时实践；大一大二每学期的第12、13周为学院劳动周</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2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大学生国家安全教育</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大学生创新基础</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大学生防艾健康教育</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大学生创业基础</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85"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小计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bidi="ar"/>
              </w:rPr>
            </w:pPr>
            <w:r>
              <w:rPr>
                <w:rFonts w:hint="default" w:ascii="仿宋" w:hAnsi="仿宋" w:eastAsia="仿宋" w:cs="仿宋"/>
                <w:b/>
                <w:bCs/>
                <w:color w:val="000000"/>
                <w:kern w:val="0"/>
                <w:sz w:val="21"/>
                <w:szCs w:val="21"/>
                <w:u w:val="none"/>
                <w:lang w:bidi="ar"/>
              </w:rPr>
              <w:fldChar w:fldCharType="begin"/>
            </w:r>
            <w:r>
              <w:rPr>
                <w:rFonts w:hint="default" w:ascii="仿宋" w:hAnsi="仿宋" w:eastAsia="仿宋" w:cs="仿宋"/>
                <w:b/>
                <w:bCs/>
                <w:color w:val="000000"/>
                <w:kern w:val="0"/>
                <w:sz w:val="21"/>
                <w:szCs w:val="21"/>
                <w:u w:val="none"/>
                <w:lang w:bidi="ar"/>
              </w:rPr>
              <w:instrText xml:space="preserve"> =SUM(ABOVE) \* MERGEFORMAT </w:instrText>
            </w:r>
            <w:r>
              <w:rPr>
                <w:rFonts w:hint="default" w:ascii="仿宋" w:hAnsi="仿宋" w:eastAsia="仿宋" w:cs="仿宋"/>
                <w:b/>
                <w:bCs/>
                <w:color w:val="000000"/>
                <w:kern w:val="0"/>
                <w:sz w:val="21"/>
                <w:szCs w:val="21"/>
                <w:u w:val="none"/>
                <w:lang w:bidi="ar"/>
              </w:rPr>
              <w:fldChar w:fldCharType="separate"/>
            </w:r>
            <w:r>
              <w:rPr>
                <w:rFonts w:hint="default" w:ascii="仿宋" w:hAnsi="仿宋" w:eastAsia="仿宋" w:cs="仿宋"/>
                <w:b/>
                <w:bCs/>
                <w:color w:val="000000"/>
                <w:kern w:val="0"/>
                <w:sz w:val="21"/>
                <w:szCs w:val="21"/>
                <w:u w:val="none"/>
                <w:lang w:bidi="ar"/>
              </w:rPr>
              <w:t>57</w:t>
            </w:r>
            <w:r>
              <w:rPr>
                <w:rFonts w:hint="default" w:ascii="仿宋" w:hAnsi="仿宋" w:eastAsia="仿宋" w:cs="仿宋"/>
                <w:b/>
                <w:bCs/>
                <w:color w:val="000000"/>
                <w:kern w:val="0"/>
                <w:sz w:val="21"/>
                <w:szCs w:val="21"/>
                <w:u w:val="none"/>
                <w:lang w:bidi="ar"/>
              </w:rPr>
              <w:fldChar w:fldCharType="end"/>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bidi="ar"/>
              </w:rPr>
            </w:pPr>
            <w:r>
              <w:rPr>
                <w:rFonts w:hint="default" w:ascii="仿宋" w:hAnsi="仿宋" w:eastAsia="仿宋" w:cs="仿宋"/>
                <w:b/>
                <w:bCs/>
                <w:color w:val="000000"/>
                <w:kern w:val="0"/>
                <w:sz w:val="21"/>
                <w:szCs w:val="21"/>
                <w:u w:val="none"/>
                <w:lang w:bidi="ar"/>
              </w:rPr>
              <w:fldChar w:fldCharType="begin"/>
            </w:r>
            <w:r>
              <w:rPr>
                <w:rFonts w:hint="default" w:ascii="仿宋" w:hAnsi="仿宋" w:eastAsia="仿宋" w:cs="仿宋"/>
                <w:b/>
                <w:bCs/>
                <w:color w:val="000000"/>
                <w:kern w:val="0"/>
                <w:sz w:val="21"/>
                <w:szCs w:val="21"/>
                <w:u w:val="none"/>
                <w:lang w:bidi="ar"/>
              </w:rPr>
              <w:instrText xml:space="preserve"> =SUM(ABOVE) \* MERGEFORMAT </w:instrText>
            </w:r>
            <w:r>
              <w:rPr>
                <w:rFonts w:hint="default" w:ascii="仿宋" w:hAnsi="仿宋" w:eastAsia="仿宋" w:cs="仿宋"/>
                <w:b/>
                <w:bCs/>
                <w:color w:val="000000"/>
                <w:kern w:val="0"/>
                <w:sz w:val="21"/>
                <w:szCs w:val="21"/>
                <w:u w:val="none"/>
                <w:lang w:bidi="ar"/>
              </w:rPr>
              <w:fldChar w:fldCharType="separate"/>
            </w:r>
            <w:r>
              <w:rPr>
                <w:rFonts w:hint="default" w:ascii="仿宋" w:hAnsi="仿宋" w:eastAsia="仿宋" w:cs="仿宋"/>
                <w:b/>
                <w:bCs/>
                <w:color w:val="000000"/>
                <w:kern w:val="0"/>
                <w:sz w:val="21"/>
                <w:szCs w:val="21"/>
                <w:u w:val="none"/>
                <w:lang w:bidi="ar"/>
              </w:rPr>
              <w:t>1108</w:t>
            </w:r>
            <w:r>
              <w:rPr>
                <w:rFonts w:hint="default" w:ascii="仿宋" w:hAnsi="仿宋" w:eastAsia="仿宋" w:cs="仿宋"/>
                <w:b/>
                <w:bCs/>
                <w:color w:val="000000"/>
                <w:kern w:val="0"/>
                <w:sz w:val="21"/>
                <w:szCs w:val="21"/>
                <w:u w:val="none"/>
                <w:lang w:bidi="ar"/>
              </w:rPr>
              <w:fldChar w:fldCharType="end"/>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default" w:ascii="仿宋" w:hAnsi="仿宋" w:eastAsia="仿宋" w:cs="仿宋"/>
                <w:b/>
                <w:bCs/>
                <w:color w:val="000000"/>
                <w:kern w:val="0"/>
                <w:sz w:val="21"/>
                <w:szCs w:val="21"/>
                <w:u w:val="none"/>
                <w:lang w:bidi="ar"/>
              </w:rPr>
              <w:fldChar w:fldCharType="begin"/>
            </w:r>
            <w:r>
              <w:rPr>
                <w:rFonts w:hint="default" w:ascii="仿宋" w:hAnsi="仿宋" w:eastAsia="仿宋" w:cs="仿宋"/>
                <w:b/>
                <w:bCs/>
                <w:color w:val="000000"/>
                <w:kern w:val="0"/>
                <w:sz w:val="21"/>
                <w:szCs w:val="21"/>
                <w:u w:val="none"/>
                <w:lang w:bidi="ar"/>
              </w:rPr>
              <w:instrText xml:space="preserve"> =SUM(ABOVE) \* MERGEFORMAT </w:instrText>
            </w:r>
            <w:r>
              <w:rPr>
                <w:rFonts w:hint="default" w:ascii="仿宋" w:hAnsi="仿宋" w:eastAsia="仿宋" w:cs="仿宋"/>
                <w:b/>
                <w:bCs/>
                <w:color w:val="000000"/>
                <w:kern w:val="0"/>
                <w:sz w:val="21"/>
                <w:szCs w:val="21"/>
                <w:u w:val="none"/>
                <w:lang w:bidi="ar"/>
              </w:rPr>
              <w:fldChar w:fldCharType="separate"/>
            </w:r>
            <w:r>
              <w:rPr>
                <w:rFonts w:hint="default" w:ascii="仿宋" w:hAnsi="仿宋" w:eastAsia="仿宋" w:cs="仿宋"/>
                <w:b/>
                <w:bCs/>
                <w:color w:val="000000"/>
                <w:kern w:val="0"/>
                <w:sz w:val="21"/>
                <w:szCs w:val="21"/>
                <w:u w:val="none"/>
                <w:lang w:bidi="ar"/>
              </w:rPr>
              <w:t>690</w:t>
            </w:r>
            <w:r>
              <w:rPr>
                <w:rFonts w:hint="default" w:ascii="仿宋" w:hAnsi="仿宋" w:eastAsia="仿宋" w:cs="仿宋"/>
                <w:b/>
                <w:bCs/>
                <w:color w:val="000000"/>
                <w:kern w:val="0"/>
                <w:sz w:val="21"/>
                <w:szCs w:val="21"/>
                <w:u w:val="none"/>
                <w:lang w:bidi="ar"/>
              </w:rPr>
              <w:fldChar w:fldCharType="end"/>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bidi="ar"/>
              </w:rPr>
            </w:pPr>
            <w:r>
              <w:rPr>
                <w:rFonts w:hint="default" w:ascii="仿宋" w:hAnsi="仿宋" w:eastAsia="仿宋" w:cs="仿宋"/>
                <w:b/>
                <w:bCs/>
                <w:color w:val="000000"/>
                <w:kern w:val="0"/>
                <w:sz w:val="21"/>
                <w:szCs w:val="21"/>
                <w:u w:val="none"/>
                <w:lang w:bidi="ar"/>
              </w:rPr>
              <w:fldChar w:fldCharType="begin"/>
            </w:r>
            <w:r>
              <w:rPr>
                <w:rFonts w:hint="default" w:ascii="仿宋" w:hAnsi="仿宋" w:eastAsia="仿宋" w:cs="仿宋"/>
                <w:b/>
                <w:bCs/>
                <w:color w:val="000000"/>
                <w:kern w:val="0"/>
                <w:sz w:val="21"/>
                <w:szCs w:val="21"/>
                <w:u w:val="none"/>
                <w:lang w:bidi="ar"/>
              </w:rPr>
              <w:instrText xml:space="preserve"> =SUM(ABOVE) \* MERGEFORMAT </w:instrText>
            </w:r>
            <w:r>
              <w:rPr>
                <w:rFonts w:hint="default" w:ascii="仿宋" w:hAnsi="仿宋" w:eastAsia="仿宋" w:cs="仿宋"/>
                <w:b/>
                <w:bCs/>
                <w:color w:val="000000"/>
                <w:kern w:val="0"/>
                <w:sz w:val="21"/>
                <w:szCs w:val="21"/>
                <w:u w:val="none"/>
                <w:lang w:bidi="ar"/>
              </w:rPr>
              <w:fldChar w:fldCharType="separate"/>
            </w:r>
            <w:r>
              <w:rPr>
                <w:rFonts w:hint="default" w:ascii="仿宋" w:hAnsi="仿宋" w:eastAsia="仿宋" w:cs="仿宋"/>
                <w:b/>
                <w:bCs/>
                <w:color w:val="000000"/>
                <w:kern w:val="0"/>
                <w:sz w:val="21"/>
                <w:szCs w:val="21"/>
                <w:u w:val="none"/>
                <w:lang w:bidi="ar"/>
              </w:rPr>
              <w:t>418</w:t>
            </w:r>
            <w:r>
              <w:rPr>
                <w:rFonts w:hint="default" w:ascii="仿宋" w:hAnsi="仿宋" w:eastAsia="仿宋" w:cs="仿宋"/>
                <w:b/>
                <w:bCs/>
                <w:color w:val="000000"/>
                <w:kern w:val="0"/>
                <w:sz w:val="21"/>
                <w:szCs w:val="21"/>
                <w:u w:val="none"/>
                <w:lang w:bidi="ar"/>
              </w:rPr>
              <w:fldChar w:fldCharType="end"/>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19</w:t>
            </w: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16</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6</w:t>
            </w: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4</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lang w:eastAsia="zh-CN"/>
              </w:rPr>
            </w:pPr>
            <w:r>
              <w:rPr>
                <w:rFonts w:hint="eastAsia" w:ascii="仿宋" w:hAnsi="仿宋" w:eastAsia="仿宋" w:cs="仿宋"/>
                <w:b/>
                <w:bCs/>
                <w:color w:val="000000"/>
                <w:kern w:val="0"/>
                <w:sz w:val="21"/>
                <w:szCs w:val="21"/>
                <w:u w:val="none"/>
                <w:lang w:val="en-US" w:eastAsia="zh-CN" w:bidi="ar"/>
              </w:rPr>
              <w:t>0</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p>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专业（技能）课</w:t>
            </w:r>
          </w:p>
        </w:tc>
        <w:tc>
          <w:tcPr>
            <w:tcW w:w="187" w:type="pct"/>
            <w:vMerge w:val="restart"/>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专业基础课</w:t>
            </w: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建筑制图与识图</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56</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20</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建筑材料</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54</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房屋建筑学</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基础会计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6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管理学基础</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28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auto"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统计基础</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24</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12</w:t>
            </w:r>
          </w:p>
        </w:tc>
        <w:tc>
          <w:tcPr>
            <w:tcW w:w="28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4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工程经济学</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51"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建筑CAD</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34</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85"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小计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26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472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294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178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8</w:t>
            </w: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10</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6</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lang w:eastAsia="zh-CN"/>
              </w:rPr>
            </w:pPr>
            <w:r>
              <w:rPr>
                <w:rFonts w:hint="eastAsia" w:ascii="仿宋" w:hAnsi="仿宋" w:eastAsia="仿宋" w:cs="仿宋"/>
                <w:b/>
                <w:bCs/>
                <w:color w:val="000000"/>
                <w:kern w:val="0"/>
                <w:sz w:val="21"/>
                <w:szCs w:val="21"/>
                <w:u w:val="none"/>
                <w:lang w:val="en-US" w:eastAsia="zh-CN" w:bidi="ar"/>
              </w:rPr>
              <w:t>0</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4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87" w:type="pct"/>
            <w:vMerge w:val="restart"/>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专业核心课</w:t>
            </w: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建设法规</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48</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24</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7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房地产营销与策划</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物业管理理论与实务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48</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24</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房地产开发与经营</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54</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402"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物业设备与维护</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nil"/>
              <w:left w:val="nil"/>
              <w:bottom w:val="nil"/>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280"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房地产估价</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试</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小计</w:t>
            </w:r>
          </w:p>
        </w:tc>
        <w:tc>
          <w:tcPr>
            <w:tcW w:w="190"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36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432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266</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166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0</w:t>
            </w: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0</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16</w:t>
            </w: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8</w:t>
            </w:r>
          </w:p>
        </w:tc>
        <w:tc>
          <w:tcPr>
            <w:tcW w:w="2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r>
              <w:rPr>
                <w:rFonts w:hint="eastAsia" w:ascii="仿宋" w:hAnsi="仿宋" w:eastAsia="仿宋" w:cs="仿宋"/>
                <w:b/>
                <w:bCs/>
                <w:color w:val="000000"/>
                <w:kern w:val="0"/>
                <w:sz w:val="21"/>
                <w:szCs w:val="21"/>
                <w:u w:val="none"/>
                <w:lang w:val="en-US" w:eastAsia="zh-CN" w:bidi="ar"/>
              </w:rPr>
              <w:t>0</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restart"/>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专业拓展（实践）课</w:t>
            </w:r>
          </w:p>
        </w:tc>
        <w:tc>
          <w:tcPr>
            <w:tcW w:w="143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混凝土结构施工图平法识图</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54</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auto"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房地产开发与经营实训</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小区智能化管理</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72</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52</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20</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4</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物业模拟实训</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0</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60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应用文写作</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60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公共关系与商务礼仪</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36</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18</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2</w:t>
            </w:r>
          </w:p>
        </w:tc>
        <w:tc>
          <w:tcPr>
            <w:tcW w:w="265" w:type="pct"/>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603"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建设工程造价管理与投资审计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3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278"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sz w:val="21"/>
                <w:szCs w:val="21"/>
                <w:u w:val="none"/>
                <w:lang w:val="en-US" w:eastAsia="zh-CN"/>
              </w:rPr>
              <w:t>讲座4课时</w:t>
            </w:r>
          </w:p>
        </w:tc>
        <w:tc>
          <w:tcPr>
            <w:tcW w:w="265"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r>
      <w:tr>
        <w:tblPrEx>
          <w:tblCellMar>
            <w:top w:w="0" w:type="dxa"/>
            <w:left w:w="0" w:type="dxa"/>
            <w:bottom w:w="0" w:type="dxa"/>
            <w:right w:w="0" w:type="dxa"/>
          </w:tblCellMar>
        </w:tblPrEx>
        <w:trPr>
          <w:trHeight w:val="714"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vMerge w:val="continue"/>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eastAsia="zh-CN" w:bidi="ar"/>
              </w:rPr>
            </w:pPr>
            <w:r>
              <w:rPr>
                <w:rFonts w:hint="eastAsia" w:ascii="仿宋" w:hAnsi="仿宋" w:eastAsia="仿宋" w:cs="仿宋"/>
                <w:bCs/>
                <w:color w:val="000000"/>
                <w:kern w:val="0"/>
                <w:sz w:val="21"/>
                <w:szCs w:val="21"/>
                <w:u w:val="none"/>
                <w:lang w:eastAsia="zh-CN" w:bidi="ar"/>
              </w:rPr>
              <w:t>岗位实习（</w:t>
            </w:r>
            <w:r>
              <w:rPr>
                <w:rFonts w:hint="eastAsia" w:ascii="仿宋" w:hAnsi="仿宋" w:eastAsia="仿宋" w:cs="仿宋"/>
                <w:bCs/>
                <w:color w:val="000000"/>
                <w:kern w:val="0"/>
                <w:sz w:val="21"/>
                <w:szCs w:val="21"/>
                <w:u w:val="none"/>
                <w:lang w:val="en-US" w:eastAsia="zh-CN" w:bidi="ar"/>
              </w:rPr>
              <w:t>综合实训</w:t>
            </w:r>
            <w:r>
              <w:rPr>
                <w:rFonts w:hint="eastAsia" w:ascii="仿宋" w:hAnsi="仿宋" w:eastAsia="仿宋" w:cs="仿宋"/>
                <w:bCs/>
                <w:color w:val="000000"/>
                <w:kern w:val="0"/>
                <w:sz w:val="21"/>
                <w:szCs w:val="21"/>
                <w:u w:val="none"/>
                <w:lang w:eastAsia="zh-CN" w:bidi="ar"/>
              </w:rPr>
              <w:t>）</w:t>
            </w:r>
          </w:p>
        </w:tc>
        <w:tc>
          <w:tcPr>
            <w:tcW w:w="19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查</w:t>
            </w:r>
          </w:p>
        </w:tc>
        <w:tc>
          <w:tcPr>
            <w:tcW w:w="26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27</w:t>
            </w:r>
          </w:p>
        </w:tc>
        <w:tc>
          <w:tcPr>
            <w:tcW w:w="386" w:type="pct"/>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810</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bidi="ar"/>
              </w:rPr>
            </w:pPr>
            <w:r>
              <w:rPr>
                <w:rFonts w:hint="eastAsia" w:ascii="仿宋" w:hAnsi="仿宋" w:eastAsia="仿宋" w:cs="仿宋"/>
                <w:bCs/>
                <w:color w:val="000000"/>
                <w:kern w:val="0"/>
                <w:sz w:val="21"/>
                <w:szCs w:val="21"/>
                <w:u w:val="none"/>
                <w:lang w:bidi="ar"/>
              </w:rPr>
              <w:t>0</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Cs/>
                <w:color w:val="000000"/>
                <w:kern w:val="0"/>
                <w:sz w:val="21"/>
                <w:szCs w:val="21"/>
                <w:u w:val="none"/>
                <w:lang w:val="en-US" w:eastAsia="zh-CN" w:bidi="ar"/>
              </w:rPr>
            </w:pPr>
            <w:r>
              <w:rPr>
                <w:rFonts w:hint="eastAsia" w:ascii="仿宋" w:hAnsi="仿宋" w:eastAsia="仿宋" w:cs="仿宋"/>
                <w:bCs/>
                <w:color w:val="000000"/>
                <w:kern w:val="0"/>
                <w:sz w:val="21"/>
                <w:szCs w:val="21"/>
                <w:u w:val="none"/>
                <w:lang w:val="en-US" w:eastAsia="zh-CN" w:bidi="ar"/>
              </w:rPr>
              <w:t>540</w:t>
            </w:r>
          </w:p>
        </w:tc>
        <w:tc>
          <w:tcPr>
            <w:tcW w:w="286" w:type="pc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kern w:val="0"/>
                <w:sz w:val="21"/>
                <w:szCs w:val="21"/>
                <w:u w:val="none"/>
                <w:lang w:bidi="ar"/>
              </w:rPr>
            </w:pPr>
          </w:p>
        </w:tc>
        <w:tc>
          <w:tcPr>
            <w:tcW w:w="224"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kern w:val="0"/>
                <w:sz w:val="21"/>
                <w:szCs w:val="21"/>
                <w:u w:val="none"/>
                <w:lang w:bidi="ar"/>
              </w:rPr>
            </w:pPr>
          </w:p>
        </w:tc>
        <w:tc>
          <w:tcPr>
            <w:tcW w:w="251"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kern w:val="0"/>
                <w:sz w:val="21"/>
                <w:szCs w:val="21"/>
                <w:u w:val="none"/>
                <w:lang w:bidi="ar"/>
              </w:rPr>
            </w:pPr>
          </w:p>
        </w:tc>
        <w:tc>
          <w:tcPr>
            <w:tcW w:w="278" w:type="pct"/>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kern w:val="0"/>
                <w:sz w:val="21"/>
                <w:szCs w:val="21"/>
                <w:u w:val="none"/>
                <w:lang w:bidi="ar"/>
              </w:rPr>
            </w:pPr>
          </w:p>
        </w:tc>
        <w:tc>
          <w:tcPr>
            <w:tcW w:w="278" w:type="pct"/>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kern w:val="0"/>
                <w:sz w:val="21"/>
                <w:szCs w:val="21"/>
                <w:u w:val="none"/>
                <w:lang w:eastAsia="zh-CN" w:bidi="ar"/>
              </w:rPr>
            </w:pPr>
            <w:r>
              <w:rPr>
                <w:rFonts w:hint="eastAsia" w:ascii="仿宋" w:hAnsi="仿宋" w:eastAsia="仿宋" w:cs="仿宋"/>
                <w:bCs/>
                <w:color w:val="000000"/>
                <w:kern w:val="0"/>
                <w:sz w:val="21"/>
                <w:szCs w:val="21"/>
                <w:u w:val="none"/>
                <w:lang w:val="en-US" w:eastAsia="zh-CN" w:bidi="ar"/>
              </w:rPr>
              <w:t>0</w:t>
            </w:r>
          </w:p>
        </w:tc>
        <w:tc>
          <w:tcPr>
            <w:tcW w:w="265" w:type="pc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Cs/>
                <w:color w:val="000000"/>
                <w:sz w:val="21"/>
                <w:szCs w:val="21"/>
                <w:u w:val="none"/>
              </w:rPr>
            </w:pPr>
            <w:r>
              <w:rPr>
                <w:rFonts w:hint="eastAsia" w:ascii="仿宋" w:hAnsi="仿宋" w:eastAsia="仿宋" w:cs="仿宋"/>
                <w:bCs/>
                <w:color w:val="000000"/>
                <w:kern w:val="0"/>
                <w:sz w:val="21"/>
                <w:szCs w:val="21"/>
                <w:u w:val="none"/>
                <w:lang w:bidi="ar"/>
              </w:rPr>
              <w:t>540</w:t>
            </w:r>
          </w:p>
        </w:tc>
      </w:tr>
      <w:tr>
        <w:tblPrEx>
          <w:tblCellMar>
            <w:top w:w="0" w:type="dxa"/>
            <w:left w:w="0" w:type="dxa"/>
            <w:bottom w:w="0" w:type="dxa"/>
            <w:right w:w="0" w:type="dxa"/>
          </w:tblCellMar>
        </w:tblPrEx>
        <w:trPr>
          <w:trHeight w:val="319" w:hRule="atLeast"/>
          <w:jc w:val="center"/>
        </w:trPr>
        <w:tc>
          <w:tcPr>
            <w:tcW w:w="203"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87" w:type="pc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Cs/>
                <w:color w:val="000000"/>
                <w:sz w:val="21"/>
                <w:szCs w:val="21"/>
                <w:u w:val="none"/>
              </w:rPr>
            </w:pPr>
          </w:p>
        </w:tc>
        <w:tc>
          <w:tcPr>
            <w:tcW w:w="14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小计</w:t>
            </w:r>
          </w:p>
        </w:tc>
        <w:tc>
          <w:tcPr>
            <w:tcW w:w="1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2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41</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val="en-US" w:eastAsia="zh-CN" w:bidi="ar"/>
              </w:rPr>
            </w:pPr>
            <w:r>
              <w:rPr>
                <w:rFonts w:hint="eastAsia" w:ascii="仿宋" w:hAnsi="仿宋" w:eastAsia="仿宋" w:cs="仿宋"/>
                <w:b/>
                <w:bCs/>
                <w:color w:val="000000"/>
                <w:kern w:val="0"/>
                <w:sz w:val="21"/>
                <w:szCs w:val="21"/>
                <w:u w:val="none"/>
                <w:lang w:val="en-US" w:eastAsia="zh-CN" w:bidi="ar"/>
              </w:rPr>
              <w:t>864</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142</w:t>
            </w:r>
          </w:p>
        </w:tc>
        <w:tc>
          <w:tcPr>
            <w:tcW w:w="3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val="en-US" w:eastAsia="zh-CN" w:bidi="ar"/>
              </w:rPr>
              <w:t>72</w:t>
            </w:r>
            <w:r>
              <w:rPr>
                <w:rFonts w:hint="eastAsia" w:ascii="仿宋" w:hAnsi="仿宋" w:eastAsia="仿宋" w:cs="仿宋"/>
                <w:b/>
                <w:bCs/>
                <w:color w:val="000000"/>
                <w:kern w:val="0"/>
                <w:sz w:val="21"/>
                <w:szCs w:val="21"/>
                <w:u w:val="none"/>
                <w:lang w:bidi="ar"/>
              </w:rPr>
              <w:t>2</w:t>
            </w:r>
          </w:p>
        </w:tc>
        <w:tc>
          <w:tcPr>
            <w:tcW w:w="2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0</w:t>
            </w:r>
          </w:p>
        </w:tc>
        <w:tc>
          <w:tcPr>
            <w:tcW w:w="2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4</w:t>
            </w:r>
          </w:p>
        </w:tc>
        <w:tc>
          <w:tcPr>
            <w:tcW w:w="25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4</w:t>
            </w:r>
          </w:p>
        </w:tc>
        <w:tc>
          <w:tcPr>
            <w:tcW w:w="2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4</w:t>
            </w:r>
          </w:p>
        </w:tc>
        <w:tc>
          <w:tcPr>
            <w:tcW w:w="27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6</w:t>
            </w:r>
          </w:p>
        </w:tc>
        <w:tc>
          <w:tcPr>
            <w:tcW w:w="265"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540</w:t>
            </w:r>
          </w:p>
        </w:tc>
      </w:tr>
      <w:tr>
        <w:tblPrEx>
          <w:tblCellMar>
            <w:top w:w="0" w:type="dxa"/>
            <w:left w:w="0" w:type="dxa"/>
            <w:bottom w:w="0" w:type="dxa"/>
            <w:right w:w="0" w:type="dxa"/>
          </w:tblCellMar>
        </w:tblPrEx>
        <w:trPr>
          <w:trHeight w:val="319" w:hRule="atLeast"/>
          <w:jc w:val="center"/>
        </w:trPr>
        <w:tc>
          <w:tcPr>
            <w:tcW w:w="203" w:type="pct"/>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合计</w:t>
            </w:r>
          </w:p>
        </w:tc>
        <w:tc>
          <w:tcPr>
            <w:tcW w:w="187" w:type="pct"/>
            <w:tcBorders>
              <w:top w:val="single" w:color="000000" w:sz="4" w:space="0"/>
              <w:left w:val="nil"/>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1439"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课时合计</w:t>
            </w:r>
          </w:p>
        </w:tc>
        <w:tc>
          <w:tcPr>
            <w:tcW w:w="190"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rPr>
                <w:rFonts w:hint="eastAsia" w:ascii="仿宋" w:hAnsi="仿宋" w:eastAsia="仿宋" w:cs="仿宋"/>
                <w:b/>
                <w:bCs/>
                <w:color w:val="000000"/>
                <w:sz w:val="21"/>
                <w:szCs w:val="21"/>
                <w:u w:val="none"/>
              </w:rPr>
            </w:pPr>
          </w:p>
        </w:tc>
        <w:tc>
          <w:tcPr>
            <w:tcW w:w="269"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val="en-US" w:eastAsia="zh-CN" w:bidi="ar"/>
              </w:rPr>
            </w:pPr>
            <w:r>
              <w:rPr>
                <w:rFonts w:hint="eastAsia" w:ascii="仿宋" w:hAnsi="仿宋" w:eastAsia="仿宋" w:cs="仿宋"/>
                <w:b/>
                <w:bCs/>
                <w:color w:val="000000"/>
                <w:kern w:val="0"/>
                <w:sz w:val="21"/>
                <w:szCs w:val="21"/>
                <w:u w:val="none"/>
                <w:lang w:bidi="ar"/>
              </w:rPr>
              <w:t>1</w:t>
            </w:r>
            <w:r>
              <w:rPr>
                <w:rFonts w:hint="eastAsia" w:ascii="仿宋" w:hAnsi="仿宋" w:eastAsia="仿宋" w:cs="仿宋"/>
                <w:b/>
                <w:bCs/>
                <w:color w:val="000000"/>
                <w:kern w:val="0"/>
                <w:sz w:val="21"/>
                <w:szCs w:val="21"/>
                <w:u w:val="none"/>
                <w:lang w:val="en-US" w:eastAsia="zh-CN" w:bidi="ar"/>
              </w:rPr>
              <w:t>60</w:t>
            </w:r>
          </w:p>
        </w:tc>
        <w:tc>
          <w:tcPr>
            <w:tcW w:w="386"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val="en-US" w:bidi="ar"/>
              </w:rPr>
            </w:pPr>
            <w:r>
              <w:rPr>
                <w:rFonts w:hint="eastAsia" w:ascii="仿宋" w:hAnsi="仿宋" w:eastAsia="仿宋" w:cs="仿宋"/>
                <w:b/>
                <w:bCs/>
                <w:color w:val="000000"/>
                <w:kern w:val="0"/>
                <w:sz w:val="21"/>
                <w:szCs w:val="21"/>
                <w:u w:val="none"/>
                <w:lang w:val="en-US" w:eastAsia="zh-CN" w:bidi="ar"/>
              </w:rPr>
              <w:t>2876</w:t>
            </w:r>
          </w:p>
        </w:tc>
        <w:tc>
          <w:tcPr>
            <w:tcW w:w="351"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default" w:ascii="仿宋" w:hAnsi="仿宋" w:eastAsia="仿宋" w:cs="仿宋"/>
                <w:b/>
                <w:bCs/>
                <w:color w:val="000000"/>
                <w:kern w:val="0"/>
                <w:sz w:val="21"/>
                <w:szCs w:val="21"/>
                <w:u w:val="none"/>
                <w:lang w:val="en-US" w:eastAsia="zh-CN" w:bidi="ar"/>
              </w:rPr>
            </w:pPr>
            <w:r>
              <w:rPr>
                <w:rFonts w:hint="eastAsia" w:ascii="仿宋" w:hAnsi="仿宋" w:eastAsia="仿宋" w:cs="仿宋"/>
                <w:b/>
                <w:bCs/>
                <w:color w:val="000000"/>
                <w:kern w:val="0"/>
                <w:sz w:val="21"/>
                <w:szCs w:val="21"/>
                <w:u w:val="none"/>
                <w:lang w:bidi="ar"/>
              </w:rPr>
              <w:t>13</w:t>
            </w:r>
            <w:r>
              <w:rPr>
                <w:rFonts w:hint="eastAsia" w:ascii="仿宋" w:hAnsi="仿宋" w:eastAsia="仿宋" w:cs="仿宋"/>
                <w:b/>
                <w:bCs/>
                <w:color w:val="000000"/>
                <w:kern w:val="0"/>
                <w:sz w:val="21"/>
                <w:szCs w:val="21"/>
                <w:u w:val="none"/>
                <w:lang w:val="en-US" w:eastAsia="zh-CN" w:bidi="ar"/>
              </w:rPr>
              <w:t>92</w:t>
            </w:r>
          </w:p>
        </w:tc>
        <w:tc>
          <w:tcPr>
            <w:tcW w:w="386" w:type="pc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kern w:val="0"/>
                <w:sz w:val="21"/>
                <w:szCs w:val="21"/>
                <w:u w:val="none"/>
                <w:lang w:bidi="ar"/>
              </w:rPr>
            </w:pPr>
            <w:r>
              <w:rPr>
                <w:rFonts w:hint="eastAsia" w:ascii="仿宋" w:hAnsi="仿宋" w:eastAsia="仿宋" w:cs="仿宋"/>
                <w:b/>
                <w:bCs/>
                <w:color w:val="000000"/>
                <w:kern w:val="0"/>
                <w:sz w:val="21"/>
                <w:szCs w:val="21"/>
                <w:u w:val="none"/>
                <w:lang w:bidi="ar"/>
              </w:rPr>
              <w:t>1</w:t>
            </w:r>
            <w:r>
              <w:rPr>
                <w:rFonts w:hint="eastAsia" w:ascii="仿宋" w:hAnsi="仿宋" w:eastAsia="仿宋" w:cs="仿宋"/>
                <w:b/>
                <w:bCs/>
                <w:color w:val="000000"/>
                <w:kern w:val="0"/>
                <w:sz w:val="21"/>
                <w:szCs w:val="21"/>
                <w:u w:val="none"/>
                <w:lang w:val="en-US" w:eastAsia="zh-CN" w:bidi="ar"/>
              </w:rPr>
              <w:t>48</w:t>
            </w:r>
            <w:r>
              <w:rPr>
                <w:rFonts w:hint="eastAsia" w:ascii="仿宋" w:hAnsi="仿宋" w:eastAsia="仿宋" w:cs="仿宋"/>
                <w:b/>
                <w:bCs/>
                <w:color w:val="000000"/>
                <w:kern w:val="0"/>
                <w:sz w:val="21"/>
                <w:szCs w:val="21"/>
                <w:u w:val="none"/>
                <w:lang w:bidi="ar"/>
              </w:rPr>
              <w:t>4</w:t>
            </w:r>
          </w:p>
        </w:tc>
        <w:tc>
          <w:tcPr>
            <w:tcW w:w="286" w:type="pc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27</w:t>
            </w:r>
          </w:p>
        </w:tc>
        <w:tc>
          <w:tcPr>
            <w:tcW w:w="224" w:type="pc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30</w:t>
            </w:r>
          </w:p>
        </w:tc>
        <w:tc>
          <w:tcPr>
            <w:tcW w:w="251" w:type="pc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30</w:t>
            </w:r>
          </w:p>
        </w:tc>
        <w:tc>
          <w:tcPr>
            <w:tcW w:w="278" w:type="pc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22</w:t>
            </w:r>
          </w:p>
        </w:tc>
        <w:tc>
          <w:tcPr>
            <w:tcW w:w="278" w:type="pc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6</w:t>
            </w:r>
          </w:p>
        </w:tc>
        <w:tc>
          <w:tcPr>
            <w:tcW w:w="265" w:type="pct"/>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spacing w:line="240" w:lineRule="auto"/>
              <w:ind w:firstLine="0" w:firstLineChars="0"/>
              <w:jc w:val="center"/>
              <w:textAlignment w:val="center"/>
              <w:rPr>
                <w:rFonts w:hint="eastAsia" w:ascii="仿宋" w:hAnsi="仿宋" w:eastAsia="仿宋" w:cs="仿宋"/>
                <w:b/>
                <w:bCs/>
                <w:color w:val="000000"/>
                <w:sz w:val="21"/>
                <w:szCs w:val="21"/>
                <w:u w:val="none"/>
              </w:rPr>
            </w:pPr>
            <w:r>
              <w:rPr>
                <w:rFonts w:hint="eastAsia" w:ascii="仿宋" w:hAnsi="仿宋" w:eastAsia="仿宋" w:cs="仿宋"/>
                <w:b/>
                <w:bCs/>
                <w:color w:val="000000"/>
                <w:kern w:val="0"/>
                <w:sz w:val="21"/>
                <w:szCs w:val="21"/>
                <w:u w:val="none"/>
                <w:lang w:bidi="ar"/>
              </w:rPr>
              <w:t>540</w:t>
            </w:r>
          </w:p>
        </w:tc>
      </w:tr>
    </w:tbl>
    <w:p>
      <w:pPr>
        <w:ind w:firstLine="0" w:firstLineChars="0"/>
        <w:jc w:val="center"/>
        <w:rPr>
          <w:u w:val="none"/>
        </w:rPr>
      </w:pPr>
    </w:p>
    <w:p>
      <w:pPr>
        <w:pStyle w:val="3"/>
        <w:ind w:firstLine="562"/>
        <w:rPr>
          <w:rFonts w:hint="eastAsia"/>
          <w:u w:val="none"/>
        </w:rPr>
      </w:pPr>
      <w:bookmarkStart w:id="86" w:name="_Toc21396"/>
      <w:r>
        <w:rPr>
          <w:rFonts w:hint="eastAsia"/>
          <w:u w:val="none"/>
        </w:rPr>
        <w:t>八、实施保障</w:t>
      </w:r>
      <w:bookmarkEnd w:id="86"/>
    </w:p>
    <w:p>
      <w:pPr>
        <w:ind w:firstLine="480"/>
        <w:rPr>
          <w:rFonts w:hint="eastAsia" w:ascii="仿宋_GB2312" w:hAnsi="仿宋_GB2312" w:eastAsia="仿宋_GB2312" w:cs="仿宋_GB2312"/>
          <w:szCs w:val="32"/>
          <w:u w:val="none"/>
        </w:rPr>
      </w:pPr>
      <w:r>
        <w:rPr>
          <w:rFonts w:hint="eastAsia"/>
          <w:u w:val="none"/>
        </w:rPr>
        <w:t>主要包括师资队伍、教学设施、教学资源、教学方法、学习评价、质量管理等方面。</w:t>
      </w:r>
    </w:p>
    <w:p>
      <w:pPr>
        <w:pStyle w:val="4"/>
        <w:ind w:firstLine="482"/>
        <w:rPr>
          <w:rFonts w:hint="eastAsia"/>
          <w:u w:val="none"/>
        </w:rPr>
      </w:pPr>
      <w:bookmarkStart w:id="87" w:name="_Toc21191"/>
      <w:r>
        <w:rPr>
          <w:rFonts w:hint="eastAsia"/>
          <w:u w:val="none"/>
        </w:rPr>
        <w:t>（一）师资队伍</w:t>
      </w:r>
      <w:bookmarkEnd w:id="87"/>
    </w:p>
    <w:p>
      <w:pPr>
        <w:ind w:firstLine="482"/>
        <w:outlineLvl w:val="3"/>
        <w:rPr>
          <w:rFonts w:hint="eastAsia" w:ascii="宋体" w:hAnsi="宋体"/>
          <w:b/>
          <w:szCs w:val="24"/>
          <w:u w:val="none"/>
        </w:rPr>
      </w:pPr>
      <w:bookmarkStart w:id="88" w:name="_Toc8759"/>
      <w:bookmarkStart w:id="89" w:name="_Toc1008"/>
      <w:bookmarkStart w:id="90" w:name="_Toc19798"/>
      <w:bookmarkStart w:id="91" w:name="_Toc12481"/>
      <w:bookmarkStart w:id="92" w:name="_Toc13274"/>
      <w:r>
        <w:rPr>
          <w:rFonts w:hint="eastAsia" w:ascii="楷体" w:hAnsi="楷体" w:eastAsia="楷体" w:cs="楷体"/>
          <w:b/>
          <w:szCs w:val="24"/>
          <w:u w:val="none"/>
        </w:rPr>
        <w:t>1.专业教师任职资格</w:t>
      </w:r>
      <w:bookmarkEnd w:id="88"/>
      <w:bookmarkEnd w:id="89"/>
      <w:bookmarkEnd w:id="90"/>
      <w:bookmarkEnd w:id="91"/>
      <w:bookmarkEnd w:id="92"/>
    </w:p>
    <w:p>
      <w:pPr>
        <w:ind w:firstLine="480"/>
        <w:rPr>
          <w:rFonts w:hint="eastAsia" w:ascii="宋体" w:hAnsi="宋体"/>
          <w:szCs w:val="24"/>
          <w:u w:val="none"/>
        </w:rPr>
      </w:pPr>
      <w:r>
        <w:rPr>
          <w:rFonts w:hint="eastAsia" w:ascii="宋体" w:hAnsi="宋体"/>
          <w:szCs w:val="24"/>
          <w:u w:val="none"/>
        </w:rPr>
        <w:t>（1）具有本专业或相关专业大学本科及以上学历；</w:t>
      </w:r>
    </w:p>
    <w:p>
      <w:pPr>
        <w:ind w:firstLine="480"/>
        <w:rPr>
          <w:rFonts w:hint="eastAsia" w:ascii="宋体" w:hAnsi="宋体"/>
          <w:szCs w:val="24"/>
          <w:u w:val="none"/>
        </w:rPr>
      </w:pPr>
      <w:r>
        <w:rPr>
          <w:rFonts w:hint="eastAsia" w:ascii="宋体" w:hAnsi="宋体"/>
          <w:szCs w:val="24"/>
          <w:u w:val="none"/>
        </w:rPr>
        <w:t>（2）具有高校教师资格证书，中级及以上职业资格证书或相应技术职称；</w:t>
      </w:r>
    </w:p>
    <w:p>
      <w:pPr>
        <w:ind w:firstLine="480"/>
        <w:rPr>
          <w:rFonts w:hint="eastAsia" w:ascii="宋体" w:hAnsi="宋体"/>
          <w:szCs w:val="24"/>
          <w:u w:val="none"/>
        </w:rPr>
      </w:pPr>
      <w:r>
        <w:rPr>
          <w:rFonts w:hint="eastAsia" w:ascii="宋体" w:hAnsi="宋体"/>
          <w:szCs w:val="24"/>
          <w:u w:val="none"/>
        </w:rPr>
        <w:t>（3）具有良好的思想道德品德修养，遵守职业道德，为人师表；热爱关心学生；</w:t>
      </w:r>
    </w:p>
    <w:p>
      <w:pPr>
        <w:ind w:firstLine="480"/>
        <w:rPr>
          <w:rFonts w:hint="eastAsia" w:ascii="宋体" w:hAnsi="宋体"/>
          <w:szCs w:val="24"/>
          <w:u w:val="none"/>
        </w:rPr>
      </w:pPr>
      <w:r>
        <w:rPr>
          <w:rFonts w:hint="eastAsia" w:ascii="宋体" w:hAnsi="宋体"/>
          <w:szCs w:val="24"/>
          <w:u w:val="none"/>
        </w:rPr>
        <w:t>（4）具备本专业教学需要的扎实的专业知识和专业实践技能，并能在教学过程中灵活运用；</w:t>
      </w:r>
    </w:p>
    <w:p>
      <w:pPr>
        <w:ind w:firstLine="480"/>
        <w:rPr>
          <w:rFonts w:hint="eastAsia" w:ascii="宋体" w:hAnsi="宋体"/>
          <w:szCs w:val="24"/>
          <w:u w:val="none"/>
        </w:rPr>
      </w:pPr>
      <w:r>
        <w:rPr>
          <w:rFonts w:hint="eastAsia" w:ascii="宋体" w:hAnsi="宋体"/>
          <w:szCs w:val="24"/>
          <w:u w:val="none"/>
        </w:rPr>
        <w:t>（5）具备基于工学结合课程开发和教学组织设计能力、教学研究能力；</w:t>
      </w:r>
    </w:p>
    <w:p>
      <w:pPr>
        <w:ind w:firstLine="480"/>
        <w:rPr>
          <w:rFonts w:hint="eastAsia" w:ascii="宋体" w:hAnsi="宋体"/>
          <w:szCs w:val="24"/>
          <w:u w:val="none"/>
        </w:rPr>
      </w:pPr>
      <w:r>
        <w:rPr>
          <w:rFonts w:hint="eastAsia" w:ascii="宋体" w:hAnsi="宋体"/>
          <w:szCs w:val="24"/>
          <w:u w:val="none"/>
        </w:rPr>
        <w:t>（6）熟悉所任教专业与对应的产业、行业、企业、职业（岗位）、就业的相互依联程度，熟悉本行业的技术生产情况及发展趋势，能及时将企业各项新方法和企业管理新理念补充进课程。长期与3个以上大中型企业保持密切联系。近3年中应有不少于6个月的企业一线实践经历。（工作不足3年的教师可适当放宽要求。）</w:t>
      </w:r>
    </w:p>
    <w:p>
      <w:pPr>
        <w:ind w:firstLine="482"/>
        <w:outlineLvl w:val="3"/>
        <w:rPr>
          <w:rFonts w:hint="eastAsia" w:ascii="楷体" w:hAnsi="楷体" w:eastAsia="楷体" w:cs="楷体"/>
          <w:b/>
          <w:szCs w:val="24"/>
          <w:u w:val="none"/>
        </w:rPr>
      </w:pPr>
      <w:bookmarkStart w:id="93" w:name="_Toc2526"/>
      <w:bookmarkStart w:id="94" w:name="_Toc2374"/>
      <w:bookmarkStart w:id="95" w:name="_Toc22348"/>
      <w:bookmarkStart w:id="96" w:name="_Toc4104"/>
      <w:bookmarkStart w:id="97" w:name="_Toc23956"/>
      <w:r>
        <w:rPr>
          <w:rFonts w:hint="eastAsia" w:ascii="楷体" w:hAnsi="楷体" w:eastAsia="楷体" w:cs="楷体"/>
          <w:b/>
          <w:szCs w:val="24"/>
          <w:u w:val="none"/>
        </w:rPr>
        <w:t>2. 专业教学团队要求</w:t>
      </w:r>
      <w:bookmarkEnd w:id="93"/>
      <w:bookmarkEnd w:id="94"/>
      <w:bookmarkEnd w:id="95"/>
      <w:bookmarkEnd w:id="96"/>
      <w:bookmarkEnd w:id="97"/>
    </w:p>
    <w:p>
      <w:pPr>
        <w:ind w:firstLine="480"/>
        <w:rPr>
          <w:rFonts w:hint="eastAsia" w:ascii="宋体" w:hAnsi="宋体"/>
          <w:szCs w:val="24"/>
          <w:u w:val="none"/>
        </w:rPr>
      </w:pPr>
      <w:r>
        <w:rPr>
          <w:rFonts w:hint="eastAsia" w:ascii="宋体" w:hAnsi="宋体"/>
          <w:szCs w:val="24"/>
          <w:u w:val="none"/>
        </w:rPr>
        <w:t>（1）有双专业带头人，其中1人应为来自行业企业的专业技术人员或专家；</w:t>
      </w:r>
    </w:p>
    <w:p>
      <w:pPr>
        <w:ind w:firstLine="480"/>
        <w:rPr>
          <w:rFonts w:hint="eastAsia" w:ascii="宋体" w:hAnsi="宋体"/>
          <w:szCs w:val="24"/>
          <w:u w:val="none"/>
        </w:rPr>
      </w:pPr>
      <w:r>
        <w:rPr>
          <w:rFonts w:hint="eastAsia" w:ascii="宋体" w:hAnsi="宋体"/>
          <w:szCs w:val="24"/>
          <w:u w:val="none"/>
        </w:rPr>
        <w:t>（2）每门课程都有讲师及以上职称的教师担任课程负责人；</w:t>
      </w:r>
    </w:p>
    <w:p>
      <w:pPr>
        <w:ind w:firstLine="480"/>
        <w:rPr>
          <w:rFonts w:hint="eastAsia"/>
          <w:u w:val="none"/>
        </w:rPr>
      </w:pPr>
      <w:r>
        <w:rPr>
          <w:rFonts w:hint="eastAsia" w:ascii="宋体" w:hAnsi="宋体"/>
          <w:szCs w:val="24"/>
          <w:u w:val="none"/>
        </w:rPr>
        <w:t>（3）专业教师的数量和结构能满足专业办学规模，其中，实践教学中来自企业一线的兼职教师应占专业教师总数的50%。</w:t>
      </w:r>
    </w:p>
    <w:p>
      <w:pPr>
        <w:pStyle w:val="4"/>
        <w:ind w:firstLine="482"/>
        <w:rPr>
          <w:rFonts w:hint="eastAsia"/>
          <w:u w:val="none"/>
        </w:rPr>
      </w:pPr>
      <w:bookmarkStart w:id="98" w:name="_Toc21240"/>
      <w:r>
        <w:rPr>
          <w:rFonts w:hint="eastAsia"/>
          <w:u w:val="none"/>
        </w:rPr>
        <w:t>（二）教学设施</w:t>
      </w:r>
      <w:bookmarkEnd w:id="98"/>
    </w:p>
    <w:p>
      <w:pPr>
        <w:ind w:firstLine="480"/>
        <w:rPr>
          <w:rFonts w:hint="eastAsia" w:ascii="宋体" w:hAnsi="宋体"/>
          <w:szCs w:val="24"/>
          <w:u w:val="none"/>
        </w:rPr>
      </w:pPr>
      <w:r>
        <w:rPr>
          <w:rFonts w:hint="eastAsia" w:ascii="宋体" w:hAnsi="宋体"/>
          <w:szCs w:val="24"/>
          <w:u w:val="none"/>
        </w:rPr>
        <w:t>现代物业管理</w:t>
      </w:r>
      <w:r>
        <w:rPr>
          <w:rFonts w:ascii="宋体" w:hAnsi="宋体"/>
          <w:szCs w:val="24"/>
          <w:u w:val="none"/>
        </w:rPr>
        <w:t>专业在校内设定相关实训室</w:t>
      </w:r>
      <w:r>
        <w:rPr>
          <w:rFonts w:hint="eastAsia" w:ascii="宋体" w:hAnsi="宋体"/>
          <w:szCs w:val="24"/>
          <w:u w:val="none"/>
        </w:rPr>
        <w:t>，配备实训设备，安装各种实训软件。校外实习基地以合肥为中心覆盖省内有关市县中心城市，校外设有校企合作综合实训基地8个，充分满足学生实习实训和实践需求。</w:t>
      </w:r>
    </w:p>
    <w:p>
      <w:pPr>
        <w:ind w:firstLine="422"/>
        <w:jc w:val="center"/>
        <w:rPr>
          <w:rFonts w:hint="eastAsia" w:ascii="宋体" w:hAnsi="宋体"/>
          <w:szCs w:val="24"/>
          <w:u w:val="none"/>
        </w:rPr>
      </w:pPr>
      <w:r>
        <w:rPr>
          <w:rFonts w:hint="eastAsia" w:ascii="黑体" w:hAnsi="黑体" w:eastAsia="黑体"/>
          <w:b/>
          <w:sz w:val="21"/>
          <w:szCs w:val="21"/>
          <w:u w:val="none"/>
        </w:rPr>
        <w:t>表8-1 实习实训基地一览表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4062"/>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28"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240" w:lineRule="exact"/>
              <w:ind w:firstLine="0" w:firstLineChars="0"/>
              <w:jc w:val="center"/>
              <w:rPr>
                <w:rFonts w:ascii="仿宋" w:hAnsi="仿宋" w:eastAsia="仿宋" w:cs="仿宋"/>
                <w:b/>
                <w:sz w:val="21"/>
                <w:szCs w:val="21"/>
                <w:u w:val="none"/>
              </w:rPr>
            </w:pPr>
            <w:r>
              <w:rPr>
                <w:rFonts w:hint="eastAsia" w:ascii="仿宋" w:hAnsi="仿宋" w:eastAsia="仿宋" w:cs="仿宋"/>
                <w:b/>
                <w:sz w:val="21"/>
                <w:szCs w:val="21"/>
                <w:u w:val="none"/>
              </w:rPr>
              <w:t xml:space="preserve">   项目</w:t>
            </w:r>
          </w:p>
          <w:p>
            <w:pPr>
              <w:spacing w:line="240" w:lineRule="exact"/>
              <w:ind w:firstLine="0" w:firstLineChars="0"/>
              <w:rPr>
                <w:rFonts w:ascii="仿宋" w:hAnsi="仿宋" w:eastAsia="仿宋" w:cs="仿宋"/>
                <w:b/>
                <w:sz w:val="21"/>
                <w:szCs w:val="21"/>
                <w:u w:val="none"/>
              </w:rPr>
            </w:pPr>
            <w:r>
              <w:rPr>
                <w:rFonts w:hint="eastAsia" w:ascii="仿宋" w:hAnsi="仿宋" w:eastAsia="仿宋" w:cs="仿宋"/>
                <w:b/>
                <w:sz w:val="21"/>
                <w:szCs w:val="21"/>
                <w:u w:val="none"/>
              </w:rPr>
              <w:t>分类</w:t>
            </w: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ascii="仿宋" w:hAnsi="仿宋" w:eastAsia="仿宋" w:cs="仿宋"/>
                <w:b/>
                <w:sz w:val="21"/>
                <w:szCs w:val="21"/>
                <w:u w:val="none"/>
              </w:rPr>
            </w:pPr>
            <w:r>
              <w:rPr>
                <w:rFonts w:hint="eastAsia" w:ascii="仿宋" w:hAnsi="仿宋" w:eastAsia="仿宋" w:cs="仿宋"/>
                <w:b/>
                <w:sz w:val="21"/>
                <w:szCs w:val="21"/>
                <w:u w:val="none"/>
              </w:rPr>
              <w:t>实训基地名称</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ascii="仿宋" w:hAnsi="仿宋" w:eastAsia="仿宋" w:cs="仿宋"/>
                <w:b/>
                <w:sz w:val="21"/>
                <w:szCs w:val="21"/>
                <w:u w:val="none"/>
              </w:rPr>
            </w:pPr>
            <w:r>
              <w:rPr>
                <w:rFonts w:hint="eastAsia" w:ascii="仿宋" w:hAnsi="仿宋" w:eastAsia="仿宋" w:cs="仿宋"/>
                <w:b/>
                <w:sz w:val="21"/>
                <w:szCs w:val="21"/>
                <w:u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校内</w:t>
            </w: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思源物业管理</w:t>
            </w:r>
            <w:r>
              <w:rPr>
                <w:rFonts w:ascii="仿宋" w:hAnsi="仿宋" w:eastAsia="仿宋" w:cs="仿宋"/>
                <w:sz w:val="21"/>
                <w:szCs w:val="21"/>
                <w:u w:val="none"/>
              </w:rPr>
              <w:t>模拟实验室</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物业管理4个阶段13个工作环节的实训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商务礼仪综合</w:t>
            </w:r>
            <w:r>
              <w:rPr>
                <w:rFonts w:ascii="仿宋" w:hAnsi="仿宋" w:eastAsia="仿宋" w:cs="仿宋"/>
                <w:sz w:val="21"/>
                <w:szCs w:val="21"/>
                <w:u w:val="none"/>
              </w:rPr>
              <w:t>实验室</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模拟谈判、模拟招聘、礼仪训练提供实践平台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ascii="仿宋" w:hAnsi="仿宋" w:eastAsia="仿宋" w:cs="仿宋"/>
                <w:sz w:val="21"/>
                <w:szCs w:val="21"/>
                <w:u w:val="none"/>
              </w:rPr>
              <w:t>工程绘图实验室</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工程绘图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8"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校外</w:t>
            </w:r>
          </w:p>
        </w:tc>
        <w:tc>
          <w:tcPr>
            <w:tcW w:w="4062"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安徽天一物业管理公司</w:t>
            </w:r>
          </w:p>
        </w:tc>
        <w:tc>
          <w:tcPr>
            <w:tcW w:w="3471"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p>
        </w:tc>
        <w:tc>
          <w:tcPr>
            <w:tcW w:w="4062"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安徽诚和物业管理公司</w:t>
            </w:r>
          </w:p>
        </w:tc>
        <w:tc>
          <w:tcPr>
            <w:tcW w:w="3471"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p>
        </w:tc>
        <w:tc>
          <w:tcPr>
            <w:tcW w:w="4062"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安徽安景物业管理公司</w:t>
            </w:r>
          </w:p>
        </w:tc>
        <w:tc>
          <w:tcPr>
            <w:tcW w:w="3471"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深圳长城物业集团合肥分公司</w:t>
            </w:r>
          </w:p>
        </w:tc>
        <w:tc>
          <w:tcPr>
            <w:tcW w:w="3471"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万科物业管理有限公司</w:t>
            </w:r>
          </w:p>
        </w:tc>
        <w:tc>
          <w:tcPr>
            <w:tcW w:w="3471"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中铁建（北京）物业管理公司合肥分公司</w:t>
            </w:r>
          </w:p>
        </w:tc>
        <w:tc>
          <w:tcPr>
            <w:tcW w:w="3471"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深圳恒基物业管理公司合肥分公司</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8" w:type="dxa"/>
            <w:vMerge w:val="continue"/>
            <w:tcBorders>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p>
        </w:tc>
        <w:tc>
          <w:tcPr>
            <w:tcW w:w="40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中海宏洋物业管理公司合肥分公司</w:t>
            </w:r>
          </w:p>
        </w:tc>
        <w:tc>
          <w:tcPr>
            <w:tcW w:w="34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实习实训、</w:t>
            </w: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实习、就业</w:t>
            </w:r>
          </w:p>
        </w:tc>
      </w:tr>
    </w:tbl>
    <w:p>
      <w:pPr>
        <w:pStyle w:val="4"/>
        <w:ind w:firstLine="482"/>
        <w:rPr>
          <w:rFonts w:hint="eastAsia"/>
          <w:u w:val="none"/>
        </w:rPr>
      </w:pPr>
      <w:bookmarkStart w:id="99" w:name="_Toc12281"/>
      <w:r>
        <w:rPr>
          <w:rFonts w:hint="eastAsia"/>
          <w:u w:val="none"/>
        </w:rPr>
        <w:t>（三）教学资源</w:t>
      </w:r>
      <w:bookmarkEnd w:id="99"/>
    </w:p>
    <w:p>
      <w:pPr>
        <w:ind w:firstLine="482"/>
        <w:rPr>
          <w:rFonts w:hint="eastAsia" w:ascii="楷体" w:hAnsi="楷体" w:eastAsia="楷体" w:cs="楷体"/>
          <w:b/>
          <w:bCs/>
          <w:szCs w:val="24"/>
          <w:u w:val="none"/>
        </w:rPr>
      </w:pPr>
      <w:bookmarkStart w:id="100" w:name="_Toc30774"/>
      <w:bookmarkStart w:id="101" w:name="_Toc14266"/>
      <w:bookmarkStart w:id="102" w:name="_Toc12447"/>
      <w:bookmarkStart w:id="103" w:name="_Toc17647"/>
      <w:bookmarkStart w:id="104" w:name="_Toc1078"/>
      <w:bookmarkStart w:id="105" w:name="_Toc20555"/>
      <w:bookmarkStart w:id="106" w:name="_Toc77759101"/>
      <w:r>
        <w:rPr>
          <w:rFonts w:hint="eastAsia" w:ascii="楷体" w:hAnsi="楷体" w:eastAsia="楷体" w:cs="楷体"/>
          <w:b/>
          <w:bCs/>
          <w:szCs w:val="24"/>
          <w:u w:val="none"/>
        </w:rPr>
        <w:t>1.</w:t>
      </w:r>
      <w:bookmarkEnd w:id="100"/>
      <w:bookmarkEnd w:id="101"/>
      <w:bookmarkEnd w:id="102"/>
      <w:bookmarkEnd w:id="103"/>
      <w:bookmarkEnd w:id="104"/>
      <w:bookmarkEnd w:id="105"/>
      <w:r>
        <w:rPr>
          <w:rFonts w:hint="eastAsia" w:ascii="楷体" w:hAnsi="楷体" w:eastAsia="楷体" w:cs="楷体"/>
          <w:b/>
          <w:bCs/>
          <w:szCs w:val="24"/>
          <w:u w:val="none"/>
        </w:rPr>
        <w:t>教材选用基本要求</w:t>
      </w:r>
      <w:bookmarkEnd w:id="106"/>
    </w:p>
    <w:p>
      <w:pPr>
        <w:ind w:firstLine="480"/>
        <w:rPr>
          <w:rFonts w:ascii="宋体" w:hAnsi="宋体"/>
          <w:szCs w:val="24"/>
          <w:u w:val="none"/>
        </w:rPr>
      </w:pPr>
      <w:r>
        <w:rPr>
          <w:rFonts w:hint="eastAsia" w:ascii="宋体" w:hAnsi="宋体"/>
          <w:szCs w:val="24"/>
          <w:u w:val="none"/>
        </w:rPr>
        <w:t>为了规范教学管理，保证教学质量，我院对所有课程的教材选用及建设作出如下规定：</w:t>
      </w:r>
    </w:p>
    <w:p>
      <w:pPr>
        <w:ind w:firstLine="480"/>
        <w:rPr>
          <w:rFonts w:hint="eastAsia" w:ascii="宋体" w:hAnsi="宋体"/>
          <w:szCs w:val="24"/>
          <w:u w:val="none"/>
        </w:rPr>
      </w:pPr>
      <w:bookmarkStart w:id="107" w:name="_Toc9741"/>
      <w:bookmarkStart w:id="108" w:name="_Toc18231"/>
      <w:bookmarkStart w:id="109" w:name="_Toc27378"/>
      <w:bookmarkStart w:id="110" w:name="_Toc19277"/>
      <w:bookmarkStart w:id="111" w:name="_Toc8949"/>
      <w:bookmarkStart w:id="112" w:name="_Toc18251"/>
      <w:r>
        <w:rPr>
          <w:rFonts w:hint="eastAsia" w:ascii="宋体" w:hAnsi="宋体"/>
          <w:szCs w:val="24"/>
          <w:u w:val="none"/>
        </w:rPr>
        <w:t>（1）必须选用国家统编的思想政治理论课教材、马克思主义理论研究和建设工程重点教材。</w:t>
      </w:r>
    </w:p>
    <w:p>
      <w:pPr>
        <w:ind w:firstLine="480"/>
        <w:rPr>
          <w:rFonts w:hint="eastAsia" w:ascii="宋体" w:hAnsi="宋体"/>
          <w:szCs w:val="24"/>
          <w:u w:val="none"/>
        </w:rPr>
      </w:pPr>
      <w:r>
        <w:rPr>
          <w:rFonts w:hint="eastAsia" w:ascii="宋体" w:hAnsi="宋体"/>
          <w:szCs w:val="24"/>
          <w:u w:val="none"/>
        </w:rPr>
        <w:t>（2）学院专业核心课程和学院公共基础课程教材原则上从国家和省级教育行政部门发布的规划教材目录中选用。</w:t>
      </w:r>
    </w:p>
    <w:p>
      <w:pPr>
        <w:ind w:firstLine="480"/>
        <w:rPr>
          <w:rFonts w:hint="eastAsia" w:ascii="宋体" w:hAnsi="宋体"/>
          <w:szCs w:val="24"/>
          <w:u w:val="none"/>
        </w:rPr>
      </w:pPr>
      <w:r>
        <w:rPr>
          <w:rFonts w:hint="eastAsia" w:ascii="宋体" w:hAnsi="宋体"/>
          <w:szCs w:val="24"/>
          <w:u w:val="none"/>
        </w:rPr>
        <w:t>（3）国家和省级规划目录中没有的教材，可在职业院校教材信息库选用，优先选用近几年省级及以上优秀获奖教材。</w:t>
      </w:r>
    </w:p>
    <w:p>
      <w:pPr>
        <w:ind w:firstLine="480"/>
        <w:rPr>
          <w:rFonts w:hint="eastAsia" w:ascii="宋体" w:hAnsi="宋体"/>
          <w:szCs w:val="24"/>
          <w:u w:val="none"/>
        </w:rPr>
      </w:pPr>
      <w:r>
        <w:rPr>
          <w:rFonts w:hint="eastAsia" w:ascii="宋体" w:hAnsi="宋体"/>
          <w:szCs w:val="24"/>
          <w:u w:val="none"/>
        </w:rPr>
        <w:t>（4）优先使用经审核批准的，除（一）（二）（三）外的学院学科专业团队和个人编写的反映自身特色的校本教材，或校企合作共同开发的“双元”教材。</w:t>
      </w:r>
    </w:p>
    <w:p>
      <w:pPr>
        <w:ind w:firstLine="480"/>
        <w:rPr>
          <w:rFonts w:hint="eastAsia" w:ascii="宋体" w:hAnsi="宋体"/>
          <w:szCs w:val="24"/>
          <w:u w:val="none"/>
        </w:rPr>
      </w:pPr>
      <w:r>
        <w:rPr>
          <w:rFonts w:hint="eastAsia" w:ascii="宋体" w:hAnsi="宋体"/>
          <w:szCs w:val="24"/>
          <w:u w:val="none"/>
        </w:rPr>
        <w:t>（5）不得以岗位培训教材取代专业课程教材。</w:t>
      </w:r>
    </w:p>
    <w:p>
      <w:pPr>
        <w:ind w:firstLine="480"/>
        <w:rPr>
          <w:rFonts w:hint="eastAsia" w:ascii="宋体" w:hAnsi="宋体"/>
          <w:szCs w:val="24"/>
          <w:u w:val="none"/>
        </w:rPr>
      </w:pPr>
      <w:r>
        <w:rPr>
          <w:rFonts w:hint="eastAsia" w:ascii="宋体" w:hAnsi="宋体"/>
          <w:szCs w:val="24"/>
          <w:u w:val="none"/>
        </w:rPr>
        <w:t>（6）选用的教材必须是通过审核的版本，擅自更改内容的教材不得选用，未按照规定程序取得审核认定意见的教材不得选用；不得选用盗版、盗印教材。若选用盗版、盗印教材，将按照教材订购合同追究教材采购公司的相关责任。</w:t>
      </w:r>
    </w:p>
    <w:p>
      <w:pPr>
        <w:ind w:firstLine="482"/>
        <w:rPr>
          <w:rFonts w:hint="eastAsia" w:ascii="宋体" w:hAnsi="宋体"/>
          <w:szCs w:val="24"/>
          <w:u w:val="none"/>
        </w:rPr>
      </w:pPr>
      <w:r>
        <w:rPr>
          <w:rFonts w:hint="eastAsia" w:ascii="楷体" w:hAnsi="楷体" w:eastAsia="楷体" w:cs="楷体"/>
          <w:b/>
          <w:bCs/>
          <w:szCs w:val="24"/>
          <w:u w:val="none"/>
        </w:rPr>
        <w:t>2. 数字资源配备</w:t>
      </w:r>
      <w:bookmarkEnd w:id="107"/>
      <w:bookmarkEnd w:id="108"/>
      <w:bookmarkEnd w:id="109"/>
      <w:bookmarkEnd w:id="110"/>
      <w:bookmarkEnd w:id="111"/>
      <w:bookmarkEnd w:id="112"/>
    </w:p>
    <w:p>
      <w:pPr>
        <w:ind w:firstLine="480"/>
        <w:rPr>
          <w:rFonts w:hint="eastAsia"/>
          <w:u w:val="none"/>
        </w:rPr>
      </w:pPr>
      <w:r>
        <w:rPr>
          <w:rFonts w:hint="eastAsia" w:ascii="宋体" w:hAnsi="宋体"/>
          <w:szCs w:val="24"/>
          <w:u w:val="none"/>
        </w:rPr>
        <w:t>充分利用专业教学资源库平台、在线开放课程及网络课程平台，结合</w:t>
      </w:r>
      <w:r>
        <w:rPr>
          <w:rFonts w:hint="eastAsia" w:ascii="宋体" w:hAnsi="宋体"/>
          <w:szCs w:val="24"/>
          <w:u w:val="none"/>
          <w:lang w:val="en-US" w:eastAsia="zh-CN"/>
        </w:rPr>
        <w:t>现代</w:t>
      </w:r>
      <w:r>
        <w:rPr>
          <w:rFonts w:hint="eastAsia" w:ascii="宋体" w:hAnsi="宋体"/>
          <w:szCs w:val="24"/>
          <w:u w:val="none"/>
        </w:rPr>
        <w:t>物业管理专业特色，采用网络教学手段，大力加强数字化教学资源建设，鼓励教师线上教学、学生在线学习。</w:t>
      </w:r>
    </w:p>
    <w:p>
      <w:pPr>
        <w:pStyle w:val="4"/>
        <w:ind w:firstLine="482"/>
        <w:rPr>
          <w:rFonts w:hint="eastAsia"/>
          <w:u w:val="none"/>
        </w:rPr>
      </w:pPr>
      <w:bookmarkStart w:id="113" w:name="_Toc15207"/>
      <w:r>
        <w:rPr>
          <w:rFonts w:hint="eastAsia"/>
          <w:u w:val="none"/>
        </w:rPr>
        <w:t>（四）教学方法</w:t>
      </w:r>
      <w:bookmarkEnd w:id="113"/>
    </w:p>
    <w:p>
      <w:pPr>
        <w:pStyle w:val="6"/>
        <w:spacing w:before="0" w:beforeAutospacing="0" w:after="0" w:afterAutospacing="0"/>
        <w:rPr>
          <w:rFonts w:hint="eastAsia" w:ascii="宋体" w:hAnsi="宋体" w:eastAsia="宋体"/>
          <w:szCs w:val="24"/>
          <w:u w:val="none"/>
        </w:rPr>
      </w:pPr>
      <w:bookmarkStart w:id="114" w:name="_Toc2773"/>
      <w:bookmarkStart w:id="115" w:name="_Toc16853315"/>
      <w:bookmarkStart w:id="116" w:name="_Toc16851831"/>
      <w:bookmarkStart w:id="117" w:name="_Toc10675"/>
      <w:bookmarkStart w:id="118" w:name="_Toc11402"/>
      <w:r>
        <w:rPr>
          <w:rFonts w:hint="eastAsia" w:ascii="宋体" w:hAnsi="宋体" w:eastAsia="宋体"/>
          <w:szCs w:val="24"/>
          <w:u w:val="none"/>
        </w:rPr>
        <w:t>为适应课程建设需要，应组织教师加强学习，更新观察，建构科学、先进的教学方法与手段改革，积极拓展新的考试模式，提高教学质量。</w:t>
      </w:r>
      <w:bookmarkEnd w:id="114"/>
      <w:bookmarkEnd w:id="115"/>
      <w:bookmarkEnd w:id="116"/>
      <w:bookmarkEnd w:id="117"/>
      <w:bookmarkEnd w:id="118"/>
    </w:p>
    <w:p>
      <w:pPr>
        <w:pStyle w:val="6"/>
        <w:spacing w:before="0" w:beforeAutospacing="0" w:after="0" w:afterAutospacing="0"/>
        <w:rPr>
          <w:rFonts w:hint="eastAsia" w:ascii="宋体" w:hAnsi="宋体" w:eastAsia="宋体"/>
          <w:szCs w:val="24"/>
          <w:u w:val="none"/>
        </w:rPr>
      </w:pPr>
      <w:bookmarkStart w:id="119" w:name="_Toc21590"/>
      <w:bookmarkStart w:id="120" w:name="_Toc16853316"/>
      <w:bookmarkStart w:id="121" w:name="_Toc16851832"/>
      <w:bookmarkStart w:id="122" w:name="_Toc13281"/>
      <w:bookmarkStart w:id="123" w:name="_Toc10968"/>
      <w:r>
        <w:rPr>
          <w:rFonts w:hint="eastAsia" w:ascii="宋体" w:hAnsi="宋体" w:eastAsia="宋体"/>
          <w:szCs w:val="24"/>
          <w:u w:val="none"/>
        </w:rPr>
        <w:t>1.教学方法及内容的改革：加强慕课、微课翻转课堂教学、项目驱动教学、案例式教学、讨论式和情景式等多种教学方法的试点实施力度。</w:t>
      </w:r>
      <w:bookmarkEnd w:id="119"/>
      <w:bookmarkEnd w:id="120"/>
      <w:bookmarkEnd w:id="121"/>
      <w:bookmarkEnd w:id="122"/>
      <w:bookmarkEnd w:id="123"/>
    </w:p>
    <w:p>
      <w:pPr>
        <w:pStyle w:val="6"/>
        <w:spacing w:before="0" w:beforeAutospacing="0" w:after="0" w:afterAutospacing="0"/>
        <w:rPr>
          <w:rFonts w:hint="eastAsia" w:ascii="宋体" w:hAnsi="宋体" w:eastAsia="宋体"/>
          <w:szCs w:val="24"/>
          <w:u w:val="none"/>
        </w:rPr>
      </w:pPr>
      <w:bookmarkStart w:id="124" w:name="_Toc27575"/>
      <w:bookmarkStart w:id="125" w:name="_Toc123"/>
      <w:bookmarkStart w:id="126" w:name="_Toc16851833"/>
      <w:bookmarkStart w:id="127" w:name="_Toc3537"/>
      <w:bookmarkStart w:id="128" w:name="_Toc16853317"/>
      <w:r>
        <w:rPr>
          <w:rFonts w:hint="eastAsia" w:ascii="宋体" w:hAnsi="宋体" w:eastAsia="宋体"/>
          <w:szCs w:val="24"/>
          <w:u w:val="none"/>
        </w:rPr>
        <w:t>2.加强实践教学环节规范，完善各种监控考核措施，提高实训效果。</w:t>
      </w:r>
      <w:bookmarkEnd w:id="124"/>
      <w:bookmarkEnd w:id="125"/>
      <w:bookmarkEnd w:id="126"/>
      <w:bookmarkEnd w:id="127"/>
      <w:bookmarkEnd w:id="128"/>
    </w:p>
    <w:p>
      <w:pPr>
        <w:pStyle w:val="6"/>
        <w:spacing w:before="0" w:beforeAutospacing="0" w:after="0" w:afterAutospacing="0"/>
        <w:rPr>
          <w:rFonts w:hint="eastAsia" w:ascii="宋体" w:hAnsi="宋体" w:eastAsia="宋体"/>
          <w:szCs w:val="24"/>
          <w:u w:val="none"/>
        </w:rPr>
      </w:pPr>
      <w:bookmarkStart w:id="129" w:name="_Toc3257"/>
      <w:bookmarkStart w:id="130" w:name="_Toc16853318"/>
      <w:bookmarkStart w:id="131" w:name="_Toc2654"/>
      <w:bookmarkStart w:id="132" w:name="_Toc29222"/>
      <w:bookmarkStart w:id="133" w:name="_Toc16851834"/>
      <w:r>
        <w:rPr>
          <w:rFonts w:hint="eastAsia" w:ascii="宋体" w:hAnsi="宋体" w:eastAsia="宋体"/>
          <w:szCs w:val="24"/>
          <w:u w:val="none"/>
        </w:rPr>
        <w:t>3.加强第二课堂的建设力度，加强对学生课外指导，以技能大赛为抓手，把学生精力引导到专业学习上来。</w:t>
      </w:r>
      <w:bookmarkEnd w:id="129"/>
      <w:bookmarkEnd w:id="130"/>
      <w:bookmarkEnd w:id="131"/>
      <w:bookmarkEnd w:id="132"/>
      <w:bookmarkEnd w:id="133"/>
    </w:p>
    <w:p>
      <w:pPr>
        <w:pStyle w:val="6"/>
        <w:spacing w:before="0" w:beforeAutospacing="0" w:after="0" w:afterAutospacing="0"/>
        <w:rPr>
          <w:rFonts w:hint="eastAsia" w:ascii="宋体" w:hAnsi="宋体" w:eastAsia="宋体"/>
          <w:szCs w:val="24"/>
          <w:u w:val="none"/>
        </w:rPr>
      </w:pPr>
      <w:bookmarkStart w:id="134" w:name="_Toc491"/>
      <w:bookmarkStart w:id="135" w:name="_Toc1541"/>
      <w:bookmarkStart w:id="136" w:name="_Toc16853319"/>
      <w:bookmarkStart w:id="137" w:name="_Toc16851835"/>
      <w:bookmarkStart w:id="138" w:name="_Toc5867"/>
      <w:r>
        <w:rPr>
          <w:rFonts w:hint="eastAsia" w:ascii="宋体" w:hAnsi="宋体" w:eastAsia="宋体"/>
          <w:szCs w:val="24"/>
          <w:u w:val="none"/>
        </w:rPr>
        <w:t>4.探索在线考核与课堂考核相结合的考核方式以及机试与笔试相结合的考试方式。</w:t>
      </w:r>
      <w:bookmarkEnd w:id="134"/>
      <w:bookmarkEnd w:id="135"/>
      <w:bookmarkEnd w:id="136"/>
      <w:bookmarkEnd w:id="137"/>
      <w:bookmarkEnd w:id="138"/>
    </w:p>
    <w:p>
      <w:pPr>
        <w:pStyle w:val="4"/>
        <w:ind w:firstLine="482"/>
        <w:rPr>
          <w:rFonts w:hint="eastAsia"/>
          <w:u w:val="none"/>
        </w:rPr>
      </w:pPr>
      <w:bookmarkStart w:id="139" w:name="_Toc16442"/>
      <w:r>
        <w:rPr>
          <w:rFonts w:hint="eastAsia"/>
          <w:u w:val="none"/>
        </w:rPr>
        <w:t>（五）学习评价</w:t>
      </w:r>
      <w:bookmarkEnd w:id="139"/>
    </w:p>
    <w:p>
      <w:pPr>
        <w:ind w:firstLine="480"/>
        <w:rPr>
          <w:rFonts w:hint="eastAsia" w:ascii="宋体" w:hAnsi="宋体"/>
          <w:szCs w:val="24"/>
          <w:u w:val="none"/>
        </w:rPr>
      </w:pPr>
      <w:r>
        <w:rPr>
          <w:rFonts w:hint="eastAsia" w:ascii="宋体" w:hAnsi="宋体"/>
          <w:szCs w:val="24"/>
          <w:u w:val="none"/>
        </w:rPr>
        <w:t>1.加大考试改革力度，注重对学生学习和发展过程的评价，如教师要更加关注对学生日常学习和发展的评价，关注学生发展的过程，从而对学生给出科学的评价。</w:t>
      </w:r>
    </w:p>
    <w:p>
      <w:pPr>
        <w:ind w:firstLine="480"/>
        <w:rPr>
          <w:rFonts w:hint="eastAsia" w:ascii="宋体" w:hAnsi="宋体"/>
          <w:szCs w:val="24"/>
          <w:u w:val="none"/>
        </w:rPr>
      </w:pPr>
      <w:r>
        <w:rPr>
          <w:rFonts w:hint="eastAsia" w:ascii="宋体" w:hAnsi="宋体"/>
          <w:szCs w:val="24"/>
          <w:u w:val="none"/>
        </w:rPr>
        <w:t>2.改革传统笔试模式，增加非闭卷考试课程数量，更加侧重对学生技能和综合运用知识能力的考核。</w:t>
      </w:r>
    </w:p>
    <w:p>
      <w:pPr>
        <w:ind w:firstLine="480"/>
        <w:rPr>
          <w:rFonts w:hint="eastAsia" w:ascii="宋体" w:hAnsi="宋体"/>
          <w:szCs w:val="24"/>
          <w:u w:val="none"/>
        </w:rPr>
      </w:pPr>
      <w:r>
        <w:rPr>
          <w:rFonts w:hint="eastAsia" w:ascii="宋体" w:hAnsi="宋体"/>
          <w:szCs w:val="24"/>
          <w:u w:val="none"/>
        </w:rPr>
        <w:t>3.开发在线考试系统，通过自动出题、自动阅卷、学生在线阶段测验和统一考试等方式提高考试效率。</w:t>
      </w:r>
    </w:p>
    <w:p>
      <w:pPr>
        <w:ind w:firstLine="480"/>
        <w:rPr>
          <w:rFonts w:hint="eastAsia"/>
          <w:u w:val="none"/>
        </w:rPr>
      </w:pPr>
      <w:r>
        <w:rPr>
          <w:rFonts w:hint="eastAsia" w:ascii="宋体" w:hAnsi="宋体"/>
          <w:szCs w:val="24"/>
          <w:u w:val="none"/>
        </w:rPr>
        <w:t>4.实行教考分离：为了切实提高教学质量，增强学校竞争力，强化任课教师的责任心，营造公平、公正的学习环境，大力推进教考分离，即承担考试课程教学任务的教师不为自己的授课对象出考试试题，而由有关部门指定的教师出题或从题库抽题的一种考试形式。经</w:t>
      </w:r>
      <w:r>
        <w:rPr>
          <w:rFonts w:hint="eastAsia" w:ascii="宋体" w:hAnsi="宋体"/>
          <w:szCs w:val="24"/>
          <w:u w:val="none"/>
          <w:lang w:eastAsia="zh-CN"/>
        </w:rPr>
        <w:t>二级院系</w:t>
      </w:r>
      <w:r>
        <w:rPr>
          <w:rFonts w:hint="eastAsia" w:ascii="宋体" w:hAnsi="宋体"/>
          <w:szCs w:val="24"/>
          <w:u w:val="none"/>
        </w:rPr>
        <w:t>批准，也可由任课教师组成出题小组出题。</w:t>
      </w:r>
    </w:p>
    <w:p>
      <w:pPr>
        <w:pStyle w:val="4"/>
        <w:ind w:firstLine="482"/>
        <w:rPr>
          <w:rFonts w:hint="eastAsia"/>
          <w:u w:val="none"/>
        </w:rPr>
      </w:pPr>
      <w:bookmarkStart w:id="140" w:name="_Toc20763"/>
      <w:r>
        <w:rPr>
          <w:rFonts w:hint="eastAsia"/>
          <w:u w:val="none"/>
        </w:rPr>
        <w:t>（六）质量管理</w:t>
      </w:r>
      <w:bookmarkEnd w:id="140"/>
    </w:p>
    <w:p>
      <w:pPr>
        <w:ind w:firstLine="482"/>
        <w:rPr>
          <w:rFonts w:hint="eastAsia" w:ascii="楷体" w:hAnsi="楷体" w:eastAsia="楷体" w:cs="楷体"/>
          <w:b/>
          <w:bCs/>
          <w:szCs w:val="24"/>
          <w:u w:val="none"/>
        </w:rPr>
      </w:pPr>
      <w:bookmarkStart w:id="141" w:name="_Toc27966"/>
      <w:bookmarkStart w:id="142" w:name="_Toc16867420"/>
      <w:bookmarkStart w:id="143" w:name="_Toc16865460"/>
      <w:r>
        <w:rPr>
          <w:rFonts w:hint="eastAsia" w:ascii="楷体" w:hAnsi="楷体" w:eastAsia="楷体" w:cs="楷体"/>
          <w:b/>
          <w:bCs/>
          <w:szCs w:val="24"/>
          <w:u w:val="none"/>
        </w:rPr>
        <w:t>1.全面加强党的领导</w:t>
      </w:r>
      <w:bookmarkEnd w:id="141"/>
      <w:bookmarkEnd w:id="142"/>
      <w:bookmarkEnd w:id="143"/>
    </w:p>
    <w:p>
      <w:pPr>
        <w:adjustRightInd w:val="0"/>
        <w:snapToGrid w:val="0"/>
        <w:ind w:firstLine="480"/>
        <w:rPr>
          <w:rFonts w:hint="eastAsia" w:ascii="宋体" w:hAnsi="宋体"/>
          <w:szCs w:val="24"/>
          <w:u w:val="none"/>
        </w:rPr>
      </w:pPr>
      <w:r>
        <w:rPr>
          <w:rFonts w:hint="eastAsia" w:ascii="宋体" w:hAnsi="宋体"/>
          <w:szCs w:val="24"/>
          <w:u w:val="none"/>
        </w:rPr>
        <w:t>在院党委的领导下，坚持以习近平新时代中国特色社会主义思想为指导，切实加强党对专业人才培养方案制订与实施工作的领导，根据学院总体发展规划以</w:t>
      </w:r>
      <w:bookmarkStart w:id="144" w:name="_Toc9203"/>
      <w:r>
        <w:rPr>
          <w:rFonts w:hint="eastAsia"/>
          <w:u w:val="none"/>
        </w:rPr>
        <w:t>及专业建设规划，结合行业发展趋势，定期研究专业人才培养方案制订与实施，确保高质量的制定符合职业人才培养规律和符合时代要求的专业人才培养方案。</w:t>
      </w:r>
      <w:bookmarkEnd w:id="144"/>
    </w:p>
    <w:p>
      <w:pPr>
        <w:ind w:firstLine="482"/>
        <w:rPr>
          <w:rFonts w:hint="eastAsia" w:ascii="楷体" w:hAnsi="楷体" w:eastAsia="楷体" w:cs="楷体"/>
          <w:b/>
          <w:bCs/>
          <w:szCs w:val="24"/>
          <w:u w:val="none"/>
        </w:rPr>
      </w:pPr>
      <w:bookmarkStart w:id="145" w:name="_Toc14167"/>
      <w:bookmarkStart w:id="146" w:name="_Toc16867421"/>
      <w:bookmarkStart w:id="147" w:name="_Toc16865461"/>
      <w:r>
        <w:rPr>
          <w:rFonts w:hint="eastAsia" w:ascii="楷体" w:hAnsi="楷体" w:eastAsia="楷体" w:cs="楷体"/>
          <w:b/>
          <w:bCs/>
          <w:szCs w:val="24"/>
          <w:u w:val="none"/>
        </w:rPr>
        <w:t>2.组织开发专业课程标准和教案</w:t>
      </w:r>
      <w:bookmarkEnd w:id="145"/>
      <w:bookmarkEnd w:id="146"/>
      <w:bookmarkEnd w:id="147"/>
    </w:p>
    <w:p>
      <w:pPr>
        <w:adjustRightInd w:val="0"/>
        <w:snapToGrid w:val="0"/>
        <w:ind w:firstLine="480"/>
        <w:rPr>
          <w:rFonts w:ascii="宋体" w:hAnsi="宋体"/>
          <w:szCs w:val="24"/>
          <w:u w:val="none"/>
        </w:rPr>
      </w:pPr>
      <w:r>
        <w:rPr>
          <w:rFonts w:hint="eastAsia" w:ascii="宋体" w:hAnsi="宋体"/>
          <w:szCs w:val="24"/>
          <w:u w:val="none"/>
        </w:rPr>
        <w:t>根据</w:t>
      </w:r>
      <w:r>
        <w:rPr>
          <w:rFonts w:ascii="宋体" w:hAnsi="宋体"/>
          <w:szCs w:val="24"/>
          <w:u w:val="none"/>
        </w:rPr>
        <w:t>专业人才培养方案总体要求，</w:t>
      </w:r>
      <w:r>
        <w:rPr>
          <w:rFonts w:hint="eastAsia" w:ascii="宋体" w:hAnsi="宋体"/>
          <w:szCs w:val="24"/>
          <w:u w:val="none"/>
        </w:rPr>
        <w:t>制（修）订专业</w:t>
      </w:r>
      <w:r>
        <w:rPr>
          <w:rFonts w:ascii="宋体" w:hAnsi="宋体"/>
          <w:szCs w:val="24"/>
          <w:u w:val="none"/>
        </w:rPr>
        <w:t>课程标准，明确课程目标，优化课程内容，规范教学过程，及时将新技术、新工艺、新规范纳入课程标准和教学内容。</w:t>
      </w:r>
      <w:r>
        <w:rPr>
          <w:rFonts w:hint="eastAsia" w:ascii="宋体" w:hAnsi="宋体"/>
          <w:szCs w:val="24"/>
          <w:u w:val="none"/>
        </w:rPr>
        <w:t>教师</w:t>
      </w:r>
      <w:r>
        <w:rPr>
          <w:rFonts w:ascii="宋体" w:hAnsi="宋体"/>
          <w:szCs w:val="24"/>
          <w:u w:val="none"/>
        </w:rPr>
        <w:t>准确把握课程教学要求，规范编写、严格执行教案，做好课程总体设计，按程序选用教材，合理运用各类教学资源，做好教学组织实施。</w:t>
      </w:r>
    </w:p>
    <w:p>
      <w:pPr>
        <w:ind w:firstLine="482"/>
        <w:rPr>
          <w:rFonts w:hint="eastAsia" w:ascii="楷体" w:hAnsi="楷体" w:eastAsia="楷体" w:cs="楷体"/>
          <w:b/>
          <w:bCs/>
          <w:szCs w:val="24"/>
          <w:u w:val="none"/>
        </w:rPr>
      </w:pPr>
      <w:bookmarkStart w:id="148" w:name="_Toc16867422"/>
      <w:bookmarkStart w:id="149" w:name="_Toc25613"/>
      <w:bookmarkStart w:id="150" w:name="_Toc16865462"/>
      <w:r>
        <w:rPr>
          <w:rFonts w:hint="eastAsia" w:ascii="楷体" w:hAnsi="楷体" w:eastAsia="楷体" w:cs="楷体"/>
          <w:b/>
          <w:bCs/>
          <w:szCs w:val="24"/>
          <w:u w:val="none"/>
        </w:rPr>
        <w:t>3.深化教师、教材、教法改革</w:t>
      </w:r>
      <w:bookmarkEnd w:id="148"/>
      <w:bookmarkEnd w:id="149"/>
      <w:bookmarkEnd w:id="150"/>
    </w:p>
    <w:p>
      <w:pPr>
        <w:adjustRightInd w:val="0"/>
        <w:snapToGrid w:val="0"/>
        <w:ind w:firstLine="480"/>
        <w:rPr>
          <w:rFonts w:ascii="宋体" w:hAnsi="宋体"/>
          <w:szCs w:val="24"/>
          <w:u w:val="none"/>
        </w:rPr>
      </w:pPr>
      <w:r>
        <w:rPr>
          <w:rFonts w:hint="eastAsia" w:ascii="宋体" w:hAnsi="宋体"/>
          <w:szCs w:val="24"/>
          <w:u w:val="none"/>
        </w:rPr>
        <w:t>建设</w:t>
      </w:r>
      <w:r>
        <w:rPr>
          <w:rFonts w:ascii="宋体" w:hAnsi="宋体"/>
          <w:szCs w:val="24"/>
          <w:u w:val="none"/>
        </w:rPr>
        <w:t>符合项目化、模块化教学需要的教学创新团队，不断优化教师能力结构。健全</w:t>
      </w:r>
      <w:r>
        <w:rPr>
          <w:rFonts w:hint="eastAsia" w:ascii="宋体" w:hAnsi="宋体"/>
          <w:szCs w:val="24"/>
          <w:u w:val="none"/>
        </w:rPr>
        <w:t>教材</w:t>
      </w:r>
      <w:r>
        <w:rPr>
          <w:rFonts w:ascii="宋体" w:hAnsi="宋体"/>
          <w:szCs w:val="24"/>
          <w:u w:val="none"/>
        </w:rPr>
        <w:t>选用制度，选用体现新技术、新工艺、新规范</w:t>
      </w:r>
      <w:r>
        <w:rPr>
          <w:rFonts w:hint="eastAsia" w:ascii="宋体" w:hAnsi="宋体"/>
          <w:szCs w:val="24"/>
          <w:u w:val="none"/>
        </w:rPr>
        <w:t>等</w:t>
      </w:r>
      <w:r>
        <w:rPr>
          <w:rFonts w:ascii="宋体" w:hAnsi="宋体"/>
          <w:szCs w:val="24"/>
          <w:u w:val="none"/>
        </w:rPr>
        <w:t>的高质量教材，引入典型生产案例。</w:t>
      </w:r>
      <w:r>
        <w:rPr>
          <w:rFonts w:hint="eastAsia" w:ascii="宋体" w:hAnsi="宋体"/>
          <w:szCs w:val="24"/>
          <w:u w:val="none"/>
        </w:rPr>
        <w:t>普及项目教学、案例教学、情境教学、模块化教学等教学方式，广泛运用启发式</w:t>
      </w:r>
      <w:r>
        <w:rPr>
          <w:rFonts w:ascii="宋体" w:hAnsi="宋体"/>
          <w:szCs w:val="24"/>
          <w:u w:val="none"/>
        </w:rPr>
        <w:t>、</w:t>
      </w:r>
      <w:r>
        <w:rPr>
          <w:rFonts w:hint="eastAsia" w:ascii="宋体" w:hAnsi="宋体"/>
          <w:szCs w:val="24"/>
          <w:u w:val="none"/>
        </w:rPr>
        <w:t>讨论式等教学方法，推广翻转课堂、混合式</w:t>
      </w:r>
      <w:r>
        <w:rPr>
          <w:rFonts w:ascii="宋体" w:hAnsi="宋体"/>
          <w:szCs w:val="24"/>
          <w:u w:val="none"/>
        </w:rPr>
        <w:t>教学</w:t>
      </w:r>
      <w:r>
        <w:rPr>
          <w:rFonts w:hint="eastAsia" w:ascii="宋体" w:hAnsi="宋体"/>
          <w:szCs w:val="24"/>
          <w:u w:val="none"/>
        </w:rPr>
        <w:t>等教学模式，</w:t>
      </w:r>
      <w:r>
        <w:rPr>
          <w:rFonts w:ascii="宋体" w:hAnsi="宋体"/>
          <w:szCs w:val="24"/>
          <w:u w:val="none"/>
        </w:rPr>
        <w:t>推动课堂教学革命。</w:t>
      </w:r>
    </w:p>
    <w:p>
      <w:pPr>
        <w:ind w:firstLine="482"/>
        <w:rPr>
          <w:rFonts w:hint="eastAsia" w:ascii="楷体" w:hAnsi="楷体" w:eastAsia="楷体" w:cs="楷体"/>
          <w:b/>
          <w:bCs/>
          <w:szCs w:val="24"/>
          <w:u w:val="none"/>
        </w:rPr>
      </w:pPr>
      <w:bookmarkStart w:id="151" w:name="_Toc16865463"/>
      <w:bookmarkStart w:id="152" w:name="_Toc16629"/>
      <w:bookmarkStart w:id="153" w:name="_Toc16867423"/>
      <w:r>
        <w:rPr>
          <w:rFonts w:hint="eastAsia" w:ascii="楷体" w:hAnsi="楷体" w:eastAsia="楷体" w:cs="楷体"/>
          <w:b/>
          <w:bCs/>
          <w:szCs w:val="24"/>
          <w:u w:val="none"/>
        </w:rPr>
        <w:t>4.推进信息化技术与教学有机融合</w:t>
      </w:r>
      <w:bookmarkEnd w:id="151"/>
      <w:bookmarkEnd w:id="152"/>
      <w:bookmarkEnd w:id="153"/>
    </w:p>
    <w:p>
      <w:pPr>
        <w:adjustRightInd w:val="0"/>
        <w:snapToGrid w:val="0"/>
        <w:ind w:firstLine="480"/>
        <w:rPr>
          <w:rFonts w:ascii="宋体" w:hAnsi="宋体"/>
          <w:szCs w:val="24"/>
          <w:u w:val="none"/>
        </w:rPr>
      </w:pPr>
      <w:r>
        <w:rPr>
          <w:rFonts w:hint="eastAsia" w:ascii="宋体" w:hAnsi="宋体"/>
          <w:szCs w:val="24"/>
          <w:u w:val="none"/>
        </w:rPr>
        <w:t>全面</w:t>
      </w:r>
      <w:r>
        <w:rPr>
          <w:rFonts w:ascii="宋体" w:hAnsi="宋体"/>
          <w:szCs w:val="24"/>
          <w:u w:val="none"/>
        </w:rPr>
        <w:t>提升教师信息技术应用能力，推动现代信息技术在教育教学中的广泛应用</w:t>
      </w:r>
      <w:r>
        <w:rPr>
          <w:rFonts w:hint="eastAsia" w:ascii="宋体" w:hAnsi="宋体"/>
          <w:szCs w:val="24"/>
          <w:u w:val="none"/>
        </w:rPr>
        <w:t>，</w:t>
      </w:r>
      <w:r>
        <w:rPr>
          <w:rFonts w:ascii="宋体" w:hAnsi="宋体"/>
          <w:szCs w:val="24"/>
          <w:u w:val="none"/>
        </w:rPr>
        <w:t>加快建设智能化教学支持环境，建设能够满足</w:t>
      </w:r>
      <w:r>
        <w:rPr>
          <w:rFonts w:hint="eastAsia" w:ascii="宋体" w:hAnsi="宋体"/>
          <w:szCs w:val="24"/>
          <w:u w:val="none"/>
        </w:rPr>
        <w:t>多样化</w:t>
      </w:r>
      <w:r>
        <w:rPr>
          <w:rFonts w:ascii="宋体" w:hAnsi="宋体"/>
          <w:szCs w:val="24"/>
          <w:u w:val="none"/>
        </w:rPr>
        <w:t>需求的课程资源</w:t>
      </w:r>
      <w:r>
        <w:rPr>
          <w:rFonts w:hint="eastAsia" w:ascii="宋体" w:hAnsi="宋体"/>
          <w:szCs w:val="24"/>
          <w:u w:val="none"/>
        </w:rPr>
        <w:t>。</w:t>
      </w:r>
    </w:p>
    <w:p>
      <w:pPr>
        <w:ind w:firstLine="482"/>
        <w:rPr>
          <w:rFonts w:hint="eastAsia" w:ascii="楷体" w:hAnsi="楷体" w:eastAsia="楷体" w:cs="楷体"/>
          <w:b/>
          <w:bCs/>
          <w:szCs w:val="24"/>
          <w:u w:val="none"/>
        </w:rPr>
      </w:pPr>
      <w:bookmarkStart w:id="154" w:name="_Toc31249"/>
      <w:bookmarkStart w:id="155" w:name="_Toc16865464"/>
      <w:bookmarkStart w:id="156" w:name="_Toc16867424"/>
      <w:r>
        <w:rPr>
          <w:rFonts w:hint="eastAsia" w:ascii="楷体" w:hAnsi="楷体" w:eastAsia="楷体" w:cs="楷体"/>
          <w:b/>
          <w:bCs/>
          <w:szCs w:val="24"/>
          <w:u w:val="none"/>
        </w:rPr>
        <w:t>5.改进学习过程管理与评价</w:t>
      </w:r>
      <w:bookmarkEnd w:id="154"/>
      <w:bookmarkEnd w:id="155"/>
      <w:bookmarkEnd w:id="156"/>
    </w:p>
    <w:p>
      <w:pPr>
        <w:adjustRightInd w:val="0"/>
        <w:snapToGrid w:val="0"/>
        <w:ind w:firstLine="480"/>
        <w:rPr>
          <w:rFonts w:hint="eastAsia"/>
          <w:u w:val="none"/>
        </w:rPr>
      </w:pPr>
      <w:r>
        <w:rPr>
          <w:rFonts w:hint="eastAsia" w:ascii="宋体" w:hAnsi="宋体"/>
          <w:szCs w:val="24"/>
          <w:u w:val="none"/>
        </w:rPr>
        <w:t>加大过程</w:t>
      </w:r>
      <w:r>
        <w:rPr>
          <w:rFonts w:ascii="宋体" w:hAnsi="宋体"/>
          <w:szCs w:val="24"/>
          <w:u w:val="none"/>
        </w:rPr>
        <w:t>考核、时间技能考核成绩在课程总成绩中的比重，</w:t>
      </w:r>
      <w:r>
        <w:rPr>
          <w:rFonts w:hint="eastAsia" w:ascii="宋体" w:hAnsi="宋体"/>
          <w:szCs w:val="24"/>
          <w:u w:val="none"/>
        </w:rPr>
        <w:t>严格</w:t>
      </w:r>
      <w:r>
        <w:rPr>
          <w:rFonts w:ascii="宋体" w:hAnsi="宋体"/>
          <w:szCs w:val="24"/>
          <w:u w:val="none"/>
        </w:rPr>
        <w:t>考试纪律，健全多元化考核评价体系，完善学生学习过程监测、评价与反馈机制，引导学生自我管理、主动学习、提高学习效率。强化</w:t>
      </w:r>
      <w:r>
        <w:rPr>
          <w:rFonts w:hint="eastAsia" w:ascii="宋体" w:hAnsi="宋体"/>
          <w:szCs w:val="24"/>
          <w:u w:val="none"/>
        </w:rPr>
        <w:t>实习</w:t>
      </w:r>
      <w:r>
        <w:rPr>
          <w:rFonts w:ascii="宋体" w:hAnsi="宋体"/>
          <w:szCs w:val="24"/>
          <w:u w:val="none"/>
        </w:rPr>
        <w:t>、实训、毕业设计（</w:t>
      </w:r>
      <w:r>
        <w:rPr>
          <w:rFonts w:hint="eastAsia" w:ascii="宋体" w:hAnsi="宋体"/>
          <w:szCs w:val="24"/>
          <w:u w:val="none"/>
        </w:rPr>
        <w:t>论文</w:t>
      </w:r>
      <w:r>
        <w:rPr>
          <w:rFonts w:ascii="宋体" w:hAnsi="宋体"/>
          <w:szCs w:val="24"/>
          <w:u w:val="none"/>
        </w:rPr>
        <w:t>）</w:t>
      </w:r>
      <w:r>
        <w:rPr>
          <w:rFonts w:hint="eastAsia" w:ascii="宋体" w:hAnsi="宋体"/>
          <w:szCs w:val="24"/>
          <w:u w:val="none"/>
        </w:rPr>
        <w:t>等</w:t>
      </w:r>
      <w:r>
        <w:rPr>
          <w:rFonts w:ascii="宋体" w:hAnsi="宋体"/>
          <w:szCs w:val="24"/>
          <w:u w:val="none"/>
        </w:rPr>
        <w:t>实践性教学环节的全过程管理与考核评价。</w:t>
      </w:r>
    </w:p>
    <w:p>
      <w:pPr>
        <w:pStyle w:val="3"/>
        <w:ind w:firstLine="562"/>
        <w:rPr>
          <w:rFonts w:hint="eastAsia"/>
          <w:u w:val="none"/>
        </w:rPr>
      </w:pPr>
      <w:bookmarkStart w:id="157" w:name="_Toc16992"/>
      <w:r>
        <w:rPr>
          <w:rFonts w:hint="eastAsia"/>
          <w:u w:val="none"/>
        </w:rPr>
        <w:t>九、学分管理和学分认定转换</w:t>
      </w:r>
      <w:bookmarkEnd w:id="157"/>
    </w:p>
    <w:p>
      <w:pPr>
        <w:pStyle w:val="4"/>
        <w:numPr>
          <w:ilvl w:val="0"/>
          <w:numId w:val="1"/>
        </w:numPr>
        <w:ind w:firstLine="482"/>
        <w:rPr>
          <w:rFonts w:hint="eastAsia"/>
          <w:u w:val="none"/>
        </w:rPr>
      </w:pPr>
      <w:bookmarkStart w:id="158" w:name="_Toc15624"/>
      <w:r>
        <w:rPr>
          <w:rFonts w:hint="eastAsia"/>
          <w:u w:val="none"/>
        </w:rPr>
        <w:t>学分管理</w:t>
      </w:r>
      <w:bookmarkEnd w:id="158"/>
    </w:p>
    <w:p>
      <w:pPr>
        <w:pStyle w:val="41"/>
        <w:ind w:firstLine="480"/>
        <w:rPr>
          <w:rFonts w:hint="eastAsia" w:ascii="宋体" w:hAnsi="宋体"/>
          <w:szCs w:val="24"/>
          <w:u w:val="none"/>
        </w:rPr>
      </w:pPr>
      <w:r>
        <w:rPr>
          <w:rFonts w:hint="eastAsia"/>
          <w:u w:val="none"/>
          <w:lang w:val="en-US" w:eastAsia="zh-CN"/>
        </w:rPr>
        <w:t>现代</w:t>
      </w:r>
      <w:r>
        <w:rPr>
          <w:rFonts w:hint="eastAsia"/>
          <w:u w:val="none"/>
        </w:rPr>
        <w:t>物业管理专业毕业生最低学分要求为163学分；其中公共基础课60学分；专业基础课26学分；专业核心课36学分；专业拓展</w:t>
      </w:r>
      <w:r>
        <w:rPr>
          <w:rFonts w:hint="eastAsia"/>
          <w:u w:val="none"/>
          <w:lang w:eastAsia="zh-CN"/>
        </w:rPr>
        <w:t>（</w:t>
      </w:r>
      <w:r>
        <w:rPr>
          <w:rFonts w:hint="eastAsia"/>
          <w:u w:val="none"/>
          <w:lang w:val="en-US" w:eastAsia="zh-CN"/>
        </w:rPr>
        <w:t>实践）</w:t>
      </w:r>
      <w:r>
        <w:rPr>
          <w:rFonts w:hint="eastAsia"/>
          <w:u w:val="none"/>
        </w:rPr>
        <w:t>课41学分。</w:t>
      </w:r>
      <w:r>
        <w:rPr>
          <w:rFonts w:hint="eastAsia" w:ascii="宋体" w:hAnsi="宋体"/>
          <w:szCs w:val="24"/>
          <w:u w:val="none"/>
        </w:rPr>
        <w:t>学生通过课程的考核，成绩合格后，即可获得该课程所对应的学分。</w:t>
      </w:r>
    </w:p>
    <w:p>
      <w:pPr>
        <w:ind w:firstLine="480"/>
        <w:rPr>
          <w:rFonts w:hint="eastAsia"/>
          <w:u w:val="none"/>
        </w:rPr>
      </w:pPr>
      <w:r>
        <w:rPr>
          <w:rFonts w:hint="eastAsia" w:ascii="宋体" w:hAnsi="宋体"/>
          <w:szCs w:val="24"/>
          <w:u w:val="none"/>
        </w:rPr>
        <w:t>为了更好地引导学生考取各类资格证书，同时积极鼓励学生参加各类技能竞赛，“以赛促学”，提高学生的职业综合素质，学院制定了学分转换制度。符合学分转换要求的课程，学生根据取得的各类证书可以免修与免考，并获得该课程所对应的学分，成绩可认定为相应分值，也可按学生实际考试成绩来认定。具体学分转换规定参照“安徽审计职业学院学分管理办法（试行）”。结合发证的机构、证书的权重及通过的难易程度等方面因素，综合考虑后将证书按类别进行学分转化。</w:t>
      </w:r>
    </w:p>
    <w:p>
      <w:pPr>
        <w:pStyle w:val="4"/>
        <w:numPr>
          <w:ilvl w:val="0"/>
          <w:numId w:val="1"/>
        </w:numPr>
        <w:ind w:firstLine="482"/>
        <w:rPr>
          <w:rFonts w:hint="eastAsia"/>
          <w:u w:val="none"/>
        </w:rPr>
      </w:pPr>
      <w:bookmarkStart w:id="159" w:name="_Toc29471"/>
      <w:r>
        <w:rPr>
          <w:rFonts w:hint="eastAsia"/>
          <w:u w:val="none"/>
        </w:rPr>
        <w:t>学分认定与转换</w:t>
      </w:r>
      <w:bookmarkEnd w:id="159"/>
    </w:p>
    <w:p>
      <w:pPr>
        <w:ind w:left="480" w:firstLine="0" w:firstLineChars="0"/>
        <w:outlineLvl w:val="2"/>
        <w:rPr>
          <w:rFonts w:hint="eastAsia" w:ascii="楷体" w:hAnsi="楷体" w:eastAsia="楷体" w:cs="楷体"/>
          <w:b/>
          <w:bCs/>
          <w:szCs w:val="24"/>
          <w:u w:val="none"/>
        </w:rPr>
      </w:pPr>
      <w:bookmarkStart w:id="160" w:name="_Toc26486"/>
      <w:bookmarkStart w:id="161" w:name="_Toc21936"/>
      <w:bookmarkStart w:id="162" w:name="_Toc12532"/>
      <w:bookmarkStart w:id="163" w:name="_Toc77759108"/>
      <w:r>
        <w:rPr>
          <w:rFonts w:hint="eastAsia" w:ascii="楷体" w:hAnsi="楷体" w:eastAsia="楷体" w:cs="楷体"/>
          <w:b/>
          <w:bCs/>
          <w:szCs w:val="24"/>
          <w:u w:val="none"/>
        </w:rPr>
        <w:t>1.学分认定与转换的条件</w:t>
      </w:r>
      <w:bookmarkEnd w:id="160"/>
      <w:bookmarkEnd w:id="161"/>
      <w:bookmarkEnd w:id="162"/>
      <w:bookmarkEnd w:id="163"/>
    </w:p>
    <w:p>
      <w:pPr>
        <w:ind w:firstLine="480"/>
        <w:rPr>
          <w:rFonts w:hint="eastAsia" w:ascii="宋体" w:hAnsi="宋体"/>
          <w:szCs w:val="24"/>
          <w:u w:val="none"/>
        </w:rPr>
      </w:pPr>
      <w:r>
        <w:rPr>
          <w:rFonts w:hint="eastAsia" w:ascii="宋体" w:hAnsi="宋体"/>
          <w:szCs w:val="24"/>
          <w:u w:val="none"/>
        </w:rPr>
        <w:t>可用于学分认定与转换的类型有：</w:t>
      </w:r>
    </w:p>
    <w:p>
      <w:pPr>
        <w:ind w:firstLine="480"/>
        <w:rPr>
          <w:rFonts w:hint="eastAsia" w:ascii="宋体" w:hAnsi="宋体"/>
          <w:szCs w:val="24"/>
          <w:u w:val="none"/>
        </w:rPr>
      </w:pPr>
      <w:r>
        <w:rPr>
          <w:rFonts w:hint="eastAsia" w:ascii="宋体" w:hAnsi="宋体"/>
          <w:szCs w:val="24"/>
          <w:u w:val="none"/>
        </w:rPr>
        <w:t xml:space="preserve">（1）资格证书类         </w:t>
      </w:r>
    </w:p>
    <w:p>
      <w:pPr>
        <w:ind w:firstLine="480"/>
        <w:rPr>
          <w:rFonts w:hint="eastAsia" w:ascii="宋体" w:hAnsi="宋体"/>
          <w:b/>
          <w:szCs w:val="21"/>
          <w:u w:val="none"/>
        </w:rPr>
      </w:pPr>
      <w:r>
        <w:rPr>
          <w:rFonts w:hint="eastAsia" w:ascii="宋体" w:hAnsi="宋体"/>
          <w:szCs w:val="24"/>
          <w:u w:val="none"/>
          <w:lang w:val="en-US" w:eastAsia="zh-CN"/>
        </w:rPr>
        <w:t>现代</w:t>
      </w:r>
      <w:r>
        <w:rPr>
          <w:rFonts w:hint="eastAsia" w:ascii="宋体" w:hAnsi="宋体"/>
          <w:szCs w:val="24"/>
          <w:u w:val="none"/>
        </w:rPr>
        <w:t>物业管理专业学生取得的常见职业资格证书书及行业企业资格考试或认证证书所对应的转换课程如表9-1。</w:t>
      </w:r>
    </w:p>
    <w:p>
      <w:pPr>
        <w:ind w:firstLine="422"/>
        <w:jc w:val="center"/>
        <w:rPr>
          <w:rFonts w:hint="eastAsia" w:ascii="黑体" w:hAnsi="黑体" w:eastAsia="黑体"/>
          <w:b/>
          <w:sz w:val="21"/>
          <w:szCs w:val="21"/>
          <w:u w:val="none"/>
        </w:rPr>
      </w:pPr>
      <w:r>
        <w:rPr>
          <w:rFonts w:hint="eastAsia" w:ascii="黑体" w:hAnsi="黑体" w:eastAsia="黑体"/>
          <w:b/>
          <w:sz w:val="21"/>
          <w:szCs w:val="21"/>
          <w:u w:val="none"/>
        </w:rPr>
        <w:t>表9-1 职业资格证书与转换课程表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928"/>
        <w:gridCol w:w="1914"/>
        <w:gridCol w:w="992"/>
        <w:gridCol w:w="263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61" w:type="dxa"/>
            <w:noWrap w:val="0"/>
            <w:vAlign w:val="top"/>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序号</w:t>
            </w:r>
          </w:p>
        </w:tc>
        <w:tc>
          <w:tcPr>
            <w:tcW w:w="1928"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证书名称</w:t>
            </w:r>
          </w:p>
        </w:tc>
        <w:tc>
          <w:tcPr>
            <w:tcW w:w="191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证书级别</w:t>
            </w:r>
          </w:p>
        </w:tc>
        <w:tc>
          <w:tcPr>
            <w:tcW w:w="992"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学分</w:t>
            </w:r>
          </w:p>
        </w:tc>
        <w:tc>
          <w:tcPr>
            <w:tcW w:w="2631"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转换课程</w:t>
            </w:r>
          </w:p>
        </w:tc>
        <w:tc>
          <w:tcPr>
            <w:tcW w:w="1162"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房地产经纪人协理</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63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房地产营销与策划</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房地产分析师</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中级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2631" w:type="dxa"/>
            <w:noWrap w:val="0"/>
            <w:vAlign w:val="top"/>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房地产开发与经营</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3</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物业管理部门经理</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2631" w:type="dxa"/>
            <w:noWrap w:val="0"/>
            <w:vAlign w:val="top"/>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物业管理与实务</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社区管理师</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3</w:t>
            </w:r>
          </w:p>
        </w:tc>
        <w:tc>
          <w:tcPr>
            <w:tcW w:w="2631" w:type="dxa"/>
            <w:noWrap w:val="0"/>
            <w:vAlign w:val="top"/>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社区服务与管理</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5</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电工证</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2631" w:type="dxa"/>
            <w:noWrap w:val="0"/>
            <w:vAlign w:val="top"/>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物业设备与维护</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1928"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初级会计师</w:t>
            </w:r>
          </w:p>
        </w:tc>
        <w:tc>
          <w:tcPr>
            <w:tcW w:w="1914"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初级</w:t>
            </w:r>
          </w:p>
        </w:tc>
        <w:tc>
          <w:tcPr>
            <w:tcW w:w="99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2631" w:type="dxa"/>
            <w:noWrap w:val="0"/>
            <w:vAlign w:val="top"/>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基础会计</w:t>
            </w:r>
          </w:p>
        </w:tc>
        <w:tc>
          <w:tcPr>
            <w:tcW w:w="1162"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blHeader/>
        </w:trPr>
        <w:tc>
          <w:tcPr>
            <w:tcW w:w="66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7</w:t>
            </w:r>
          </w:p>
        </w:tc>
        <w:tc>
          <w:tcPr>
            <w:tcW w:w="1928" w:type="dxa"/>
            <w:noWrap w:val="0"/>
            <w:vAlign w:val="top"/>
          </w:tcPr>
          <w:p>
            <w:pPr>
              <w:spacing w:line="240" w:lineRule="auto"/>
              <w:ind w:firstLine="0" w:firstLineChars="0"/>
              <w:rPr>
                <w:rFonts w:hint="eastAsia" w:ascii="仿宋" w:hAnsi="仿宋" w:eastAsia="仿宋"/>
                <w:sz w:val="21"/>
                <w:szCs w:val="21"/>
                <w:u w:val="none"/>
              </w:rPr>
            </w:pPr>
            <w:r>
              <w:rPr>
                <w:rFonts w:hint="eastAsia" w:ascii="仿宋" w:hAnsi="仿宋" w:eastAsia="仿宋"/>
                <w:sz w:val="21"/>
                <w:szCs w:val="21"/>
                <w:u w:val="none"/>
              </w:rPr>
              <w:t>“1+X”建筑工程识图职业技能等级证书</w:t>
            </w:r>
          </w:p>
        </w:tc>
        <w:tc>
          <w:tcPr>
            <w:tcW w:w="1914" w:type="dxa"/>
            <w:noWrap w:val="0"/>
            <w:vAlign w:val="top"/>
          </w:tcPr>
          <w:p>
            <w:pPr>
              <w:spacing w:line="240" w:lineRule="auto"/>
              <w:ind w:firstLine="0" w:firstLineChars="0"/>
              <w:jc w:val="center"/>
              <w:rPr>
                <w:rFonts w:hint="eastAsia" w:ascii="仿宋" w:hAnsi="仿宋" w:eastAsia="仿宋"/>
                <w:sz w:val="21"/>
                <w:szCs w:val="21"/>
                <w:u w:val="none"/>
              </w:rPr>
            </w:pPr>
            <w:r>
              <w:rPr>
                <w:rFonts w:hint="eastAsia" w:ascii="仿宋" w:hAnsi="仿宋" w:eastAsia="仿宋"/>
                <w:sz w:val="21"/>
                <w:szCs w:val="21"/>
                <w:u w:val="none"/>
              </w:rPr>
              <w:t>初级、中级、高级</w:t>
            </w:r>
          </w:p>
        </w:tc>
        <w:tc>
          <w:tcPr>
            <w:tcW w:w="992" w:type="dxa"/>
            <w:noWrap w:val="0"/>
            <w:vAlign w:val="top"/>
          </w:tcPr>
          <w:p>
            <w:pPr>
              <w:spacing w:line="240" w:lineRule="auto"/>
              <w:ind w:firstLine="0" w:firstLineChars="0"/>
              <w:rPr>
                <w:rFonts w:hint="eastAsia" w:ascii="仿宋" w:hAnsi="仿宋" w:eastAsia="仿宋"/>
                <w:sz w:val="21"/>
                <w:szCs w:val="21"/>
                <w:u w:val="none"/>
              </w:rPr>
            </w:pPr>
            <w:r>
              <w:rPr>
                <w:rFonts w:ascii="仿宋" w:hAnsi="仿宋" w:eastAsia="仿宋"/>
                <w:sz w:val="21"/>
                <w:szCs w:val="21"/>
                <w:u w:val="none"/>
              </w:rPr>
              <w:t>2</w:t>
            </w:r>
            <w:r>
              <w:rPr>
                <w:rFonts w:hint="eastAsia" w:ascii="仿宋" w:hAnsi="仿宋" w:eastAsia="仿宋"/>
                <w:sz w:val="21"/>
                <w:szCs w:val="21"/>
                <w:u w:val="none"/>
              </w:rPr>
              <w:t>、</w:t>
            </w:r>
            <w:r>
              <w:rPr>
                <w:rFonts w:ascii="仿宋" w:hAnsi="仿宋" w:eastAsia="仿宋"/>
                <w:sz w:val="21"/>
                <w:szCs w:val="21"/>
                <w:u w:val="none"/>
              </w:rPr>
              <w:t>4</w:t>
            </w:r>
            <w:r>
              <w:rPr>
                <w:rFonts w:hint="eastAsia" w:ascii="仿宋" w:hAnsi="仿宋" w:eastAsia="仿宋"/>
                <w:sz w:val="21"/>
                <w:szCs w:val="21"/>
                <w:u w:val="none"/>
              </w:rPr>
              <w:t>、</w:t>
            </w:r>
            <w:r>
              <w:rPr>
                <w:rFonts w:ascii="仿宋" w:hAnsi="仿宋" w:eastAsia="仿宋"/>
                <w:sz w:val="21"/>
                <w:szCs w:val="21"/>
                <w:u w:val="none"/>
              </w:rPr>
              <w:t>6</w:t>
            </w:r>
          </w:p>
        </w:tc>
        <w:tc>
          <w:tcPr>
            <w:tcW w:w="2631" w:type="dxa"/>
            <w:noWrap w:val="0"/>
            <w:vAlign w:val="top"/>
          </w:tcPr>
          <w:p>
            <w:pPr>
              <w:spacing w:line="240" w:lineRule="auto"/>
              <w:ind w:firstLine="0" w:firstLineChars="0"/>
              <w:jc w:val="center"/>
              <w:rPr>
                <w:rFonts w:hint="eastAsia" w:ascii="仿宋" w:hAnsi="仿宋" w:eastAsia="仿宋"/>
                <w:sz w:val="21"/>
                <w:szCs w:val="21"/>
                <w:u w:val="none"/>
              </w:rPr>
            </w:pPr>
            <w:r>
              <w:rPr>
                <w:rFonts w:hint="eastAsia" w:ascii="仿宋" w:hAnsi="仿宋" w:eastAsia="仿宋"/>
                <w:sz w:val="21"/>
                <w:szCs w:val="21"/>
                <w:u w:val="none"/>
              </w:rPr>
              <w:t>建筑制图与识图、房屋建筑学、CAD、钢筋混凝土平法识图、</w:t>
            </w:r>
          </w:p>
        </w:tc>
        <w:tc>
          <w:tcPr>
            <w:tcW w:w="1162" w:type="dxa"/>
            <w:noWrap w:val="0"/>
            <w:vAlign w:val="center"/>
          </w:tcPr>
          <w:p>
            <w:pPr>
              <w:spacing w:line="240" w:lineRule="auto"/>
              <w:ind w:firstLine="0" w:firstLineChars="0"/>
              <w:jc w:val="center"/>
              <w:rPr>
                <w:rFonts w:hint="eastAsia" w:ascii="仿宋" w:hAnsi="仿宋" w:eastAsia="仿宋"/>
                <w:sz w:val="21"/>
                <w:szCs w:val="21"/>
                <w:u w:val="none"/>
              </w:rPr>
            </w:pPr>
            <w:r>
              <w:rPr>
                <w:rFonts w:ascii="仿宋" w:hAnsi="仿宋" w:eastAsia="仿宋"/>
                <w:sz w:val="21"/>
                <w:szCs w:val="21"/>
                <w:u w:val="none"/>
              </w:rPr>
              <w:t>85</w:t>
            </w:r>
            <w:r>
              <w:rPr>
                <w:rFonts w:hint="eastAsia" w:ascii="仿宋" w:hAnsi="仿宋" w:eastAsia="仿宋"/>
                <w:sz w:val="21"/>
                <w:szCs w:val="21"/>
                <w:u w:val="none"/>
              </w:rPr>
              <w:t>、</w:t>
            </w:r>
            <w:r>
              <w:rPr>
                <w:rFonts w:ascii="仿宋" w:hAnsi="仿宋" w:eastAsia="仿宋"/>
                <w:sz w:val="21"/>
                <w:szCs w:val="21"/>
                <w:u w:val="none"/>
              </w:rPr>
              <w:t>90</w:t>
            </w:r>
            <w:r>
              <w:rPr>
                <w:rFonts w:hint="eastAsia" w:ascii="仿宋" w:hAnsi="仿宋" w:eastAsia="仿宋"/>
                <w:sz w:val="21"/>
                <w:szCs w:val="21"/>
                <w:u w:val="none"/>
              </w:rPr>
              <w:t>、</w:t>
            </w:r>
            <w:r>
              <w:rPr>
                <w:rFonts w:ascii="仿宋" w:hAnsi="仿宋" w:eastAsia="仿宋"/>
                <w:sz w:val="21"/>
                <w:szCs w:val="21"/>
                <w:u w:val="none"/>
              </w:rPr>
              <w:t>95</w:t>
            </w:r>
          </w:p>
        </w:tc>
      </w:tr>
    </w:tbl>
    <w:p>
      <w:pPr>
        <w:ind w:firstLine="480"/>
        <w:rPr>
          <w:rFonts w:hint="eastAsia" w:ascii="宋体" w:hAnsi="宋体"/>
          <w:szCs w:val="24"/>
          <w:u w:val="none"/>
        </w:rPr>
      </w:pPr>
      <w:r>
        <w:rPr>
          <w:rFonts w:hint="eastAsia" w:ascii="宋体" w:hAnsi="宋体"/>
          <w:szCs w:val="24"/>
          <w:u w:val="none"/>
        </w:rPr>
        <w:t>（2）学习能力类</w:t>
      </w:r>
    </w:p>
    <w:p>
      <w:pPr>
        <w:ind w:firstLine="480"/>
        <w:rPr>
          <w:rFonts w:hint="eastAsia" w:ascii="宋体" w:hAnsi="宋体"/>
          <w:szCs w:val="24"/>
          <w:u w:val="none"/>
        </w:rPr>
      </w:pPr>
      <w:r>
        <w:rPr>
          <w:rFonts w:hint="eastAsia" w:ascii="宋体" w:hAnsi="宋体"/>
          <w:szCs w:val="24"/>
          <w:u w:val="none"/>
        </w:rPr>
        <w:t>学习能力类证书包括高等学校英语应用能力考试AB级证书、全国大学英语四六级证书、全国计算机等级考试证书和安徽省计算机水平考试证书以及网络课程成绩合格的结业证书等，所对应的转换课程如下表。</w:t>
      </w:r>
    </w:p>
    <w:p>
      <w:pPr>
        <w:spacing w:line="240" w:lineRule="auto"/>
        <w:ind w:firstLine="422"/>
        <w:jc w:val="center"/>
        <w:rPr>
          <w:rFonts w:hint="eastAsia" w:ascii="黑体" w:hAnsi="黑体" w:eastAsia="黑体" w:cs="黑体"/>
          <w:b/>
          <w:sz w:val="21"/>
          <w:szCs w:val="21"/>
          <w:u w:val="none"/>
        </w:rPr>
      </w:pPr>
      <w:r>
        <w:rPr>
          <w:rFonts w:hint="eastAsia" w:ascii="黑体" w:hAnsi="黑体" w:eastAsia="黑体" w:cs="黑体"/>
          <w:b/>
          <w:sz w:val="21"/>
          <w:szCs w:val="21"/>
          <w:u w:val="none"/>
        </w:rPr>
        <w:t>表9-2 学习能力类证书与转换课程表</w:t>
      </w:r>
    </w:p>
    <w:tbl>
      <w:tblPr>
        <w:tblStyle w:val="1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80"/>
        <w:gridCol w:w="2025"/>
        <w:gridCol w:w="739"/>
        <w:gridCol w:w="214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4"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序号</w:t>
            </w:r>
          </w:p>
        </w:tc>
        <w:tc>
          <w:tcPr>
            <w:tcW w:w="2480"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证书类型</w:t>
            </w:r>
          </w:p>
        </w:tc>
        <w:tc>
          <w:tcPr>
            <w:tcW w:w="2025"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发证机构</w:t>
            </w:r>
          </w:p>
        </w:tc>
        <w:tc>
          <w:tcPr>
            <w:tcW w:w="739"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学分</w:t>
            </w:r>
          </w:p>
        </w:tc>
        <w:tc>
          <w:tcPr>
            <w:tcW w:w="2140"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可转换课程</w:t>
            </w:r>
          </w:p>
        </w:tc>
        <w:tc>
          <w:tcPr>
            <w:tcW w:w="1370" w:type="dxa"/>
            <w:noWrap w:val="0"/>
            <w:vAlign w:val="center"/>
          </w:tcPr>
          <w:p>
            <w:pPr>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全国计算机等级考试</w:t>
            </w:r>
          </w:p>
        </w:tc>
        <w:tc>
          <w:tcPr>
            <w:tcW w:w="2025" w:type="dxa"/>
            <w:noWrap w:val="0"/>
            <w:vAlign w:val="center"/>
          </w:tcPr>
          <w:p>
            <w:pPr>
              <w:ind w:firstLine="0" w:firstLineChars="0"/>
              <w:jc w:val="center"/>
              <w:rPr>
                <w:rFonts w:hint="eastAsia" w:ascii="仿宋" w:hAnsi="仿宋" w:eastAsia="仿宋" w:cs="仿宋"/>
                <w:color w:val="FF0000"/>
                <w:sz w:val="21"/>
                <w:szCs w:val="21"/>
                <w:u w:val="none"/>
              </w:rPr>
            </w:pPr>
            <w:r>
              <w:rPr>
                <w:rFonts w:hint="eastAsia" w:ascii="仿宋" w:hAnsi="仿宋" w:eastAsia="仿宋" w:cs="仿宋"/>
                <w:sz w:val="21"/>
                <w:szCs w:val="21"/>
                <w:u w:val="none"/>
              </w:rPr>
              <w:t>教育部国家教育考试中心</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14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信息技术基础</w:t>
            </w:r>
          </w:p>
        </w:tc>
        <w:tc>
          <w:tcPr>
            <w:tcW w:w="1370" w:type="dxa"/>
            <w:noWrap w:val="0"/>
            <w:vAlign w:val="center"/>
          </w:tcPr>
          <w:p>
            <w:pPr>
              <w:ind w:firstLine="0" w:firstLineChars="0"/>
              <w:jc w:val="center"/>
              <w:rPr>
                <w:rFonts w:hint="eastAsia" w:ascii="仿宋" w:hAnsi="仿宋" w:eastAsia="仿宋" w:cs="仿宋"/>
                <w:color w:val="FF0000"/>
                <w:sz w:val="21"/>
                <w:szCs w:val="21"/>
                <w:u w:val="none"/>
              </w:rPr>
            </w:pPr>
            <w:r>
              <w:rPr>
                <w:rFonts w:hint="eastAsia" w:ascii="仿宋" w:hAnsi="仿宋" w:eastAsia="仿宋" w:cs="仿宋"/>
                <w:sz w:val="21"/>
                <w:szCs w:val="21"/>
                <w:u w:val="none"/>
              </w:rPr>
              <w:t>90及以上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安徽省计算机水平考试</w:t>
            </w:r>
          </w:p>
        </w:tc>
        <w:tc>
          <w:tcPr>
            <w:tcW w:w="2025"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安徽省人事考试院</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14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信息技术基础</w:t>
            </w:r>
          </w:p>
        </w:tc>
        <w:tc>
          <w:tcPr>
            <w:tcW w:w="1370" w:type="dxa"/>
            <w:noWrap w:val="0"/>
            <w:vAlign w:val="center"/>
          </w:tcPr>
          <w:p>
            <w:pPr>
              <w:ind w:firstLine="0" w:firstLineChars="0"/>
              <w:jc w:val="center"/>
              <w:rPr>
                <w:rFonts w:hint="eastAsia" w:ascii="仿宋" w:hAnsi="仿宋" w:eastAsia="仿宋" w:cs="仿宋"/>
                <w:color w:val="FF0000"/>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3</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高等学校英语A级考试</w:t>
            </w:r>
          </w:p>
        </w:tc>
        <w:tc>
          <w:tcPr>
            <w:tcW w:w="202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"https://www.baidu.com/s?wd=%E9%AB%98%E7%AD%89%E5%AD%A6%E6%A0%A1%E8%8B%B1%E8%AF%AD%E5%BA%94%E7%94%A8%E8%83%BD%E5%8A%9B%E8%80%83%E8%AF%95&amp;tn=SE_PcZhidaonwhc_ngpagmjz&amp;rsv_dl=gh_pc_zhidao" \t "https://zhidao.baidu.com/question/_blank" </w:instrText>
            </w:r>
            <w:r>
              <w:rPr>
                <w:rFonts w:hint="eastAsia" w:ascii="仿宋" w:hAnsi="仿宋" w:eastAsia="仿宋" w:cs="仿宋"/>
                <w:sz w:val="21"/>
                <w:szCs w:val="21"/>
                <w:u w:val="none"/>
              </w:rPr>
              <w:fldChar w:fldCharType="separate"/>
            </w:r>
            <w:r>
              <w:rPr>
                <w:rFonts w:hint="eastAsia" w:ascii="仿宋" w:hAnsi="仿宋" w:eastAsia="仿宋" w:cs="仿宋"/>
                <w:sz w:val="21"/>
                <w:szCs w:val="21"/>
                <w:u w:val="none"/>
              </w:rPr>
              <w:t>高等学校英语应用能力考试</w:t>
            </w:r>
            <w:r>
              <w:rPr>
                <w:rFonts w:hint="eastAsia" w:ascii="仿宋" w:hAnsi="仿宋" w:eastAsia="仿宋" w:cs="仿宋"/>
                <w:sz w:val="21"/>
                <w:szCs w:val="21"/>
                <w:u w:val="none"/>
              </w:rPr>
              <w:fldChar w:fldCharType="end"/>
            </w:r>
            <w:r>
              <w:rPr>
                <w:rFonts w:hint="eastAsia" w:ascii="仿宋" w:hAnsi="仿宋" w:eastAsia="仿宋" w:cs="仿宋"/>
                <w:sz w:val="21"/>
                <w:szCs w:val="21"/>
                <w:u w:val="none"/>
              </w:rPr>
              <w:t>委员会</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140"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英语</w:t>
            </w:r>
          </w:p>
        </w:tc>
        <w:tc>
          <w:tcPr>
            <w:tcW w:w="1370" w:type="dxa"/>
            <w:noWrap w:val="0"/>
            <w:vAlign w:val="center"/>
          </w:tcPr>
          <w:p>
            <w:pPr>
              <w:ind w:firstLine="0" w:firstLineChars="0"/>
              <w:jc w:val="center"/>
              <w:rPr>
                <w:rFonts w:hint="default"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高等学校英语B级考试</w:t>
            </w:r>
          </w:p>
        </w:tc>
        <w:tc>
          <w:tcPr>
            <w:tcW w:w="202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"https://www.baidu.com/s?wd=%E9%AB%98%E7%AD%89%E5%AD%A6%E6%A0%A1%E8%8B%B1%E8%AF%AD%E5%BA%94%E7%94%A8%E8%83%BD%E5%8A%9B%E8%80%83%E8%AF%95&amp;tn=SE_PcZhidaonwhc_ngpagmjz&amp;rsv_dl=gh_pc_zhidao" \t "https://zhidao.baidu.com/question/_blank" </w:instrText>
            </w:r>
            <w:r>
              <w:rPr>
                <w:rFonts w:hint="eastAsia" w:ascii="仿宋" w:hAnsi="仿宋" w:eastAsia="仿宋" w:cs="仿宋"/>
                <w:sz w:val="21"/>
                <w:szCs w:val="21"/>
                <w:u w:val="none"/>
              </w:rPr>
              <w:fldChar w:fldCharType="separate"/>
            </w:r>
            <w:r>
              <w:rPr>
                <w:rFonts w:hint="eastAsia" w:ascii="仿宋" w:hAnsi="仿宋" w:eastAsia="仿宋" w:cs="仿宋"/>
                <w:sz w:val="21"/>
                <w:szCs w:val="21"/>
                <w:u w:val="none"/>
              </w:rPr>
              <w:t>高等学校英语应用能力考试</w:t>
            </w:r>
            <w:r>
              <w:rPr>
                <w:rFonts w:hint="eastAsia" w:ascii="仿宋" w:hAnsi="仿宋" w:eastAsia="仿宋" w:cs="仿宋"/>
                <w:sz w:val="21"/>
                <w:szCs w:val="21"/>
                <w:u w:val="none"/>
              </w:rPr>
              <w:fldChar w:fldCharType="end"/>
            </w:r>
            <w:r>
              <w:rPr>
                <w:rFonts w:hint="eastAsia" w:ascii="仿宋" w:hAnsi="仿宋" w:eastAsia="仿宋" w:cs="仿宋"/>
                <w:sz w:val="21"/>
                <w:szCs w:val="21"/>
                <w:u w:val="none"/>
              </w:rPr>
              <w:t>委员会</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140" w:type="dxa"/>
            <w:vMerge w:val="continue"/>
            <w:noWrap w:val="0"/>
            <w:vAlign w:val="center"/>
          </w:tcPr>
          <w:p>
            <w:pPr>
              <w:ind w:firstLine="0" w:firstLineChars="0"/>
              <w:jc w:val="center"/>
              <w:rPr>
                <w:rFonts w:hint="eastAsia" w:ascii="仿宋" w:hAnsi="仿宋" w:eastAsia="仿宋" w:cs="仿宋"/>
                <w:sz w:val="21"/>
                <w:szCs w:val="21"/>
                <w:u w:val="none"/>
              </w:rPr>
            </w:pPr>
          </w:p>
        </w:tc>
        <w:tc>
          <w:tcPr>
            <w:tcW w:w="1370" w:type="dxa"/>
            <w:noWrap w:val="0"/>
            <w:vAlign w:val="center"/>
          </w:tcPr>
          <w:p>
            <w:pPr>
              <w:ind w:firstLine="0" w:firstLineChars="0"/>
              <w:jc w:val="center"/>
              <w:rPr>
                <w:rFonts w:hint="eastAsia" w:ascii="仿宋" w:hAnsi="仿宋" w:eastAsia="仿宋" w:cs="仿宋"/>
                <w:sz w:val="21"/>
                <w:szCs w:val="21"/>
                <w:u w:val="none"/>
                <w:lang w:val="en-US" w:eastAsia="zh-CN"/>
              </w:rPr>
            </w:pPr>
            <w:r>
              <w:rPr>
                <w:rFonts w:hint="eastAsia" w:ascii="仿宋" w:hAnsi="仿宋" w:eastAsia="仿宋" w:cs="仿宋"/>
                <w:sz w:val="21"/>
                <w:szCs w:val="21"/>
                <w:u w:val="none"/>
              </w:rPr>
              <w:t>8</w:t>
            </w:r>
            <w:r>
              <w:rPr>
                <w:rFonts w:hint="eastAsia" w:ascii="仿宋" w:hAnsi="仿宋" w:eastAsia="仿宋" w:cs="仿宋"/>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5</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全国大学英语四级考试</w:t>
            </w:r>
          </w:p>
        </w:tc>
        <w:tc>
          <w:tcPr>
            <w:tcW w:w="202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全国大学英语四六级考试委员会</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2140"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370" w:type="dxa"/>
            <w:noWrap w:val="0"/>
            <w:vAlign w:val="center"/>
          </w:tcPr>
          <w:p>
            <w:pPr>
              <w:ind w:firstLine="0" w:firstLineChars="0"/>
              <w:jc w:val="center"/>
              <w:rPr>
                <w:rFonts w:hint="default"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全国大学英语六级考试</w:t>
            </w:r>
          </w:p>
        </w:tc>
        <w:tc>
          <w:tcPr>
            <w:tcW w:w="202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全国大学英语四六级考试委员会</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2140"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370" w:type="dxa"/>
            <w:noWrap w:val="0"/>
            <w:vAlign w:val="center"/>
          </w:tcPr>
          <w:p>
            <w:pPr>
              <w:ind w:firstLine="0" w:firstLineChars="0"/>
              <w:jc w:val="center"/>
              <w:rPr>
                <w:rFonts w:hint="default"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7</w:t>
            </w:r>
          </w:p>
        </w:tc>
        <w:tc>
          <w:tcPr>
            <w:tcW w:w="2480"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网络课程学习或考试</w:t>
            </w:r>
          </w:p>
        </w:tc>
        <w:tc>
          <w:tcPr>
            <w:tcW w:w="202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提供网络学习资源的教育行政部门或社会公认的企业</w:t>
            </w:r>
          </w:p>
        </w:tc>
        <w:tc>
          <w:tcPr>
            <w:tcW w:w="739"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2140"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大学生创新基础、大学生创业基础</w:t>
            </w:r>
          </w:p>
        </w:tc>
        <w:tc>
          <w:tcPr>
            <w:tcW w:w="1370"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以网络课程考核成绩为准</w:t>
            </w:r>
          </w:p>
        </w:tc>
      </w:tr>
    </w:tbl>
    <w:p>
      <w:pPr>
        <w:ind w:firstLine="480"/>
        <w:rPr>
          <w:rFonts w:hint="eastAsia" w:ascii="宋体" w:hAnsi="宋体"/>
          <w:szCs w:val="24"/>
          <w:u w:val="none"/>
        </w:rPr>
      </w:pPr>
      <w:r>
        <w:rPr>
          <w:rFonts w:hint="eastAsia" w:ascii="宋体" w:hAnsi="宋体"/>
          <w:szCs w:val="24"/>
          <w:u w:val="none"/>
        </w:rPr>
        <w:t>（3）技能竞赛类</w:t>
      </w:r>
    </w:p>
    <w:p>
      <w:pPr>
        <w:ind w:firstLine="480"/>
        <w:rPr>
          <w:rFonts w:hint="eastAsia" w:ascii="楷体" w:hAnsi="楷体" w:eastAsia="楷体" w:cs="楷体"/>
          <w:b/>
          <w:bCs/>
          <w:sz w:val="28"/>
          <w:szCs w:val="28"/>
          <w:u w:val="none"/>
        </w:rPr>
      </w:pPr>
      <w:r>
        <w:rPr>
          <w:rFonts w:hint="eastAsia" w:ascii="宋体" w:hAnsi="宋体" w:cs="宋体"/>
          <w:szCs w:val="21"/>
          <w:u w:val="none"/>
        </w:rPr>
        <w:t>技能竞赛类包括各专业相关学科和技能竞赛获奖证书。团体比赛所有成员在学分申请上享受同等待遇。</w:t>
      </w:r>
      <w:r>
        <w:rPr>
          <w:rFonts w:hint="eastAsia" w:ascii="宋体" w:hAnsi="宋体" w:cs="宋体"/>
          <w:szCs w:val="21"/>
          <w:u w:val="none"/>
          <w:lang w:val="en-US" w:eastAsia="zh-CN"/>
        </w:rPr>
        <w:t>现代</w:t>
      </w:r>
      <w:r>
        <w:rPr>
          <w:rFonts w:hint="eastAsia" w:ascii="宋体" w:hAnsi="宋体" w:cs="宋体"/>
          <w:szCs w:val="21"/>
          <w:u w:val="none"/>
        </w:rPr>
        <w:t>物业管理专业学生参加的各类技能竞赛获奖证书所对应的转换课程见表9-3</w:t>
      </w:r>
      <w:r>
        <w:rPr>
          <w:rFonts w:hint="eastAsia"/>
          <w:szCs w:val="21"/>
          <w:u w:val="none"/>
        </w:rPr>
        <w:t>。</w:t>
      </w:r>
    </w:p>
    <w:p>
      <w:pPr>
        <w:ind w:firstLine="422"/>
        <w:jc w:val="center"/>
        <w:rPr>
          <w:rFonts w:hint="eastAsia" w:ascii="黑体" w:hAnsi="黑体" w:eastAsia="黑体"/>
          <w:b/>
          <w:sz w:val="21"/>
          <w:szCs w:val="21"/>
          <w:u w:val="none"/>
        </w:rPr>
      </w:pPr>
      <w:bookmarkStart w:id="164" w:name="_Toc32228_WPSOffice_Level3"/>
      <w:bookmarkStart w:id="165" w:name="_Toc3600_WPSOffice_Level3"/>
      <w:bookmarkStart w:id="166" w:name="_Toc6977_WPSOffice_Level3"/>
      <w:bookmarkStart w:id="167" w:name="_Toc3617_WPSOffice_Level3"/>
      <w:r>
        <w:rPr>
          <w:rFonts w:hint="eastAsia" w:ascii="黑体" w:hAnsi="黑体" w:eastAsia="黑体"/>
          <w:b/>
          <w:sz w:val="21"/>
          <w:szCs w:val="21"/>
          <w:u w:val="none"/>
        </w:rPr>
        <w:t>表9-3 技能竞赛与转换课程表</w:t>
      </w:r>
      <w:bookmarkEnd w:id="164"/>
      <w:bookmarkEnd w:id="165"/>
      <w:bookmarkEnd w:id="166"/>
      <w:bookmarkEnd w:id="167"/>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094"/>
        <w:gridCol w:w="964"/>
        <w:gridCol w:w="1081"/>
        <w:gridCol w:w="1081"/>
        <w:gridCol w:w="1046"/>
        <w:gridCol w:w="1122"/>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15"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序号</w:t>
            </w:r>
          </w:p>
        </w:tc>
        <w:tc>
          <w:tcPr>
            <w:tcW w:w="209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技能竞赛名称</w:t>
            </w:r>
          </w:p>
        </w:tc>
        <w:tc>
          <w:tcPr>
            <w:tcW w:w="964"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竞赛级别</w:t>
            </w:r>
          </w:p>
        </w:tc>
        <w:tc>
          <w:tcPr>
            <w:tcW w:w="1081"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参赛形式</w:t>
            </w:r>
          </w:p>
        </w:tc>
        <w:tc>
          <w:tcPr>
            <w:tcW w:w="1081"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获奖等级</w:t>
            </w:r>
          </w:p>
        </w:tc>
        <w:tc>
          <w:tcPr>
            <w:tcW w:w="1046"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学分</w:t>
            </w:r>
          </w:p>
        </w:tc>
        <w:tc>
          <w:tcPr>
            <w:tcW w:w="1122" w:type="dxa"/>
            <w:noWrap w:val="0"/>
            <w:vAlign w:val="center"/>
          </w:tcPr>
          <w:p>
            <w:pPr>
              <w:ind w:firstLine="0" w:firstLineChars="0"/>
              <w:jc w:val="center"/>
              <w:rPr>
                <w:rFonts w:hint="eastAsia" w:ascii="仿宋" w:hAnsi="仿宋" w:eastAsia="仿宋" w:cs="仿宋"/>
                <w:kern w:val="2"/>
                <w:sz w:val="21"/>
                <w:szCs w:val="21"/>
                <w:u w:val="none"/>
                <w:lang w:val="en-US" w:eastAsia="zh-CN" w:bidi="ar-SA"/>
              </w:rPr>
            </w:pPr>
            <w:r>
              <w:rPr>
                <w:rFonts w:hint="eastAsia" w:ascii="仿宋" w:hAnsi="仿宋" w:eastAsia="仿宋" w:cs="仿宋"/>
                <w:sz w:val="21"/>
                <w:szCs w:val="21"/>
                <w:u w:val="none"/>
              </w:rPr>
              <w:t>转换课程</w:t>
            </w:r>
          </w:p>
        </w:tc>
        <w:tc>
          <w:tcPr>
            <w:tcW w:w="1285" w:type="dxa"/>
            <w:noWrap w:val="0"/>
            <w:vAlign w:val="center"/>
          </w:tcPr>
          <w:p>
            <w:pPr>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w:t>
            </w:r>
          </w:p>
        </w:tc>
        <w:tc>
          <w:tcPr>
            <w:tcW w:w="209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安徽省“互联网+”大学生创新创业大赛</w:t>
            </w:r>
          </w:p>
        </w:tc>
        <w:tc>
          <w:tcPr>
            <w:tcW w:w="96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B类</w:t>
            </w: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个人赛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1122" w:type="dxa"/>
            <w:vMerge w:val="restart"/>
            <w:noWrap w:val="0"/>
            <w:vAlign w:val="center"/>
          </w:tcPr>
          <w:p>
            <w:pPr>
              <w:spacing w:line="240" w:lineRule="auto"/>
              <w:ind w:firstLine="0" w:firstLineChars="0"/>
              <w:jc w:val="center"/>
              <w:rPr>
                <w:rFonts w:hint="eastAsia" w:ascii="仿宋" w:hAnsi="仿宋" w:eastAsia="仿宋" w:cs="仿宋"/>
                <w:kern w:val="2"/>
                <w:sz w:val="21"/>
                <w:szCs w:val="21"/>
                <w:u w:val="none"/>
                <w:lang w:val="en-US" w:eastAsia="zh-CN" w:bidi="ar-SA"/>
              </w:rPr>
            </w:pPr>
            <w:r>
              <w:rPr>
                <w:rFonts w:hint="eastAsia" w:ascii="仿宋" w:hAnsi="仿宋" w:eastAsia="仿宋" w:cs="仿宋"/>
                <w:sz w:val="21"/>
                <w:szCs w:val="21"/>
                <w:u w:val="none"/>
              </w:rPr>
              <w:t>大学生创新基础、大学生创业基础</w:t>
            </w:r>
          </w:p>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团体赛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209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“国元证券杯”安徽省大学生金融投资创新大赛股票虚拟仿真交易赛项</w:t>
            </w:r>
          </w:p>
        </w:tc>
        <w:tc>
          <w:tcPr>
            <w:tcW w:w="96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B类</w:t>
            </w: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个人赛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1122" w:type="dxa"/>
            <w:vMerge w:val="restart"/>
            <w:noWrap w:val="0"/>
            <w:vAlign w:val="center"/>
          </w:tcPr>
          <w:p>
            <w:pPr>
              <w:spacing w:line="240" w:lineRule="auto"/>
              <w:ind w:firstLine="0" w:firstLineChars="0"/>
              <w:jc w:val="center"/>
              <w:rPr>
                <w:rFonts w:hint="eastAsia" w:ascii="仿宋" w:hAnsi="仿宋" w:eastAsia="仿宋" w:cs="仿宋"/>
                <w:kern w:val="2"/>
                <w:sz w:val="21"/>
                <w:szCs w:val="21"/>
                <w:u w:val="none"/>
                <w:lang w:val="en-US" w:eastAsia="zh-CN" w:bidi="ar-SA"/>
              </w:rPr>
            </w:pPr>
            <w:r>
              <w:rPr>
                <w:rFonts w:hint="eastAsia" w:ascii="仿宋" w:hAnsi="仿宋" w:eastAsia="仿宋" w:cs="仿宋"/>
                <w:sz w:val="21"/>
                <w:szCs w:val="21"/>
                <w:u w:val="none"/>
              </w:rPr>
              <w:t>基础会计</w:t>
            </w:r>
          </w:p>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团体赛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6</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3</w:t>
            </w:r>
          </w:p>
        </w:tc>
        <w:tc>
          <w:tcPr>
            <w:tcW w:w="209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全国房地产开发与经营大赛</w:t>
            </w:r>
          </w:p>
        </w:tc>
        <w:tc>
          <w:tcPr>
            <w:tcW w:w="96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C类</w:t>
            </w: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个人赛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1122" w:type="dxa"/>
            <w:vMerge w:val="restart"/>
            <w:noWrap w:val="0"/>
            <w:vAlign w:val="center"/>
          </w:tcPr>
          <w:p>
            <w:pPr>
              <w:spacing w:line="240" w:lineRule="auto"/>
              <w:ind w:firstLine="0" w:firstLineChars="0"/>
              <w:jc w:val="center"/>
              <w:rPr>
                <w:rFonts w:hint="eastAsia" w:ascii="仿宋" w:hAnsi="仿宋" w:eastAsia="仿宋" w:cs="仿宋"/>
                <w:kern w:val="2"/>
                <w:sz w:val="21"/>
                <w:szCs w:val="21"/>
                <w:u w:val="none"/>
                <w:lang w:val="en-US" w:eastAsia="zh-CN" w:bidi="ar-SA"/>
              </w:rPr>
            </w:pPr>
            <w:r>
              <w:rPr>
                <w:rFonts w:hint="eastAsia" w:ascii="仿宋" w:hAnsi="仿宋" w:eastAsia="仿宋" w:cs="仿宋"/>
                <w:sz w:val="21"/>
                <w:szCs w:val="21"/>
                <w:u w:val="none"/>
              </w:rPr>
              <w:t>房地产开发与经营</w:t>
            </w:r>
          </w:p>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1.5</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团体赛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2</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1.5</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1</w:t>
            </w:r>
          </w:p>
        </w:tc>
        <w:tc>
          <w:tcPr>
            <w:tcW w:w="1122"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285"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4</w:t>
            </w:r>
          </w:p>
        </w:tc>
        <w:tc>
          <w:tcPr>
            <w:tcW w:w="209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安徽省职业院校技能大赛高职组建筑工程识图比赛</w:t>
            </w:r>
          </w:p>
        </w:tc>
        <w:tc>
          <w:tcPr>
            <w:tcW w:w="964"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B类</w:t>
            </w: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个人赛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4</w:t>
            </w:r>
          </w:p>
        </w:tc>
        <w:tc>
          <w:tcPr>
            <w:tcW w:w="1122" w:type="dxa"/>
            <w:vMerge w:val="restart"/>
            <w:noWrap w:val="0"/>
            <w:vAlign w:val="center"/>
          </w:tcPr>
          <w:p>
            <w:pPr>
              <w:spacing w:line="240" w:lineRule="auto"/>
              <w:ind w:firstLine="0" w:firstLineChars="0"/>
              <w:jc w:val="center"/>
              <w:rPr>
                <w:rFonts w:hint="eastAsia" w:ascii="仿宋" w:hAnsi="仿宋" w:eastAsia="仿宋" w:cs="仿宋"/>
                <w:kern w:val="2"/>
                <w:sz w:val="21"/>
                <w:szCs w:val="21"/>
                <w:u w:val="none"/>
                <w:lang w:val="en-US" w:eastAsia="zh-CN" w:bidi="ar-SA"/>
              </w:rPr>
            </w:pPr>
            <w:r>
              <w:rPr>
                <w:rFonts w:hint="eastAsia" w:ascii="仿宋" w:hAnsi="仿宋" w:eastAsia="仿宋" w:cs="仿宋"/>
                <w:sz w:val="21"/>
                <w:szCs w:val="21"/>
                <w:u w:val="none"/>
              </w:rPr>
              <w:t>建筑工程制图与识图、建筑CAD、混凝土结构施工图平法识图</w:t>
            </w: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3</w:t>
            </w:r>
          </w:p>
        </w:tc>
        <w:tc>
          <w:tcPr>
            <w:tcW w:w="1122" w:type="dxa"/>
            <w:vMerge w:val="continue"/>
            <w:noWrap w:val="0"/>
            <w:vAlign w:val="center"/>
          </w:tcPr>
          <w:p>
            <w:pPr>
              <w:adjustRightInd w:val="0"/>
              <w:snapToGrid w:val="0"/>
              <w:spacing w:line="240" w:lineRule="auto"/>
              <w:ind w:firstLine="0" w:firstLineChars="0"/>
              <w:jc w:val="center"/>
              <w:rPr>
                <w:rFonts w:ascii="仿宋" w:hAnsi="仿宋" w:eastAsia="仿宋"/>
                <w:szCs w:val="21"/>
                <w:u w:val="none"/>
              </w:rPr>
            </w:pP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2</w:t>
            </w:r>
          </w:p>
        </w:tc>
        <w:tc>
          <w:tcPr>
            <w:tcW w:w="1122" w:type="dxa"/>
            <w:vMerge w:val="continue"/>
            <w:noWrap w:val="0"/>
            <w:vAlign w:val="center"/>
          </w:tcPr>
          <w:p>
            <w:pPr>
              <w:adjustRightInd w:val="0"/>
              <w:snapToGrid w:val="0"/>
              <w:spacing w:line="240" w:lineRule="auto"/>
              <w:ind w:firstLine="0" w:firstLineChars="0"/>
              <w:jc w:val="center"/>
              <w:rPr>
                <w:rFonts w:ascii="仿宋" w:hAnsi="仿宋" w:eastAsia="仿宋"/>
                <w:szCs w:val="21"/>
                <w:u w:val="none"/>
              </w:rPr>
            </w:pP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restart"/>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团体赛</w:t>
            </w: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一等奖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4</w:t>
            </w:r>
          </w:p>
        </w:tc>
        <w:tc>
          <w:tcPr>
            <w:tcW w:w="1122" w:type="dxa"/>
            <w:vMerge w:val="continue"/>
            <w:noWrap w:val="0"/>
            <w:vAlign w:val="center"/>
          </w:tcPr>
          <w:p>
            <w:pPr>
              <w:adjustRightInd w:val="0"/>
              <w:snapToGrid w:val="0"/>
              <w:spacing w:line="240" w:lineRule="auto"/>
              <w:ind w:firstLine="0" w:firstLineChars="0"/>
              <w:jc w:val="center"/>
              <w:rPr>
                <w:rFonts w:ascii="仿宋" w:hAnsi="仿宋" w:eastAsia="仿宋"/>
                <w:szCs w:val="21"/>
                <w:u w:val="none"/>
              </w:rPr>
            </w:pP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二等奖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3</w:t>
            </w:r>
          </w:p>
        </w:tc>
        <w:tc>
          <w:tcPr>
            <w:tcW w:w="1122" w:type="dxa"/>
            <w:vMerge w:val="continue"/>
            <w:noWrap w:val="0"/>
            <w:vAlign w:val="center"/>
          </w:tcPr>
          <w:p>
            <w:pPr>
              <w:adjustRightInd w:val="0"/>
              <w:snapToGrid w:val="0"/>
              <w:spacing w:line="240" w:lineRule="auto"/>
              <w:ind w:firstLine="0" w:firstLineChars="0"/>
              <w:jc w:val="center"/>
              <w:rPr>
                <w:rFonts w:ascii="仿宋" w:hAnsi="仿宋" w:eastAsia="仿宋"/>
                <w:szCs w:val="21"/>
                <w:u w:val="none"/>
              </w:rPr>
            </w:pP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209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964"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vMerge w:val="continue"/>
            <w:noWrap w:val="0"/>
            <w:vAlign w:val="center"/>
          </w:tcPr>
          <w:p>
            <w:pPr>
              <w:spacing w:line="240" w:lineRule="auto"/>
              <w:ind w:firstLine="0" w:firstLineChars="0"/>
              <w:jc w:val="center"/>
              <w:rPr>
                <w:rFonts w:hint="eastAsia" w:ascii="仿宋" w:hAnsi="仿宋" w:eastAsia="仿宋" w:cs="仿宋"/>
                <w:sz w:val="21"/>
                <w:szCs w:val="21"/>
                <w:u w:val="none"/>
              </w:rPr>
            </w:pPr>
          </w:p>
        </w:tc>
        <w:tc>
          <w:tcPr>
            <w:tcW w:w="1081" w:type="dxa"/>
            <w:noWrap w:val="0"/>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三等奖</w:t>
            </w:r>
          </w:p>
        </w:tc>
        <w:tc>
          <w:tcPr>
            <w:tcW w:w="1046" w:type="dxa"/>
            <w:noWrap w:val="0"/>
            <w:vAlign w:val="center"/>
          </w:tcPr>
          <w:p>
            <w:pPr>
              <w:adjustRightInd w:val="0"/>
              <w:snapToGrid w:val="0"/>
              <w:spacing w:line="240" w:lineRule="auto"/>
              <w:ind w:firstLine="0" w:firstLineChars="0"/>
              <w:jc w:val="center"/>
              <w:rPr>
                <w:rFonts w:ascii="仿宋" w:hAnsi="仿宋" w:eastAsia="仿宋"/>
                <w:szCs w:val="21"/>
                <w:u w:val="none"/>
              </w:rPr>
            </w:pPr>
            <w:r>
              <w:rPr>
                <w:rFonts w:hint="eastAsia" w:ascii="仿宋" w:hAnsi="仿宋" w:eastAsia="仿宋"/>
                <w:szCs w:val="21"/>
                <w:u w:val="none"/>
              </w:rPr>
              <w:t>2</w:t>
            </w:r>
          </w:p>
        </w:tc>
        <w:tc>
          <w:tcPr>
            <w:tcW w:w="1122" w:type="dxa"/>
            <w:vMerge w:val="continue"/>
            <w:noWrap w:val="0"/>
            <w:vAlign w:val="center"/>
          </w:tcPr>
          <w:p>
            <w:pPr>
              <w:adjustRightInd w:val="0"/>
              <w:snapToGrid w:val="0"/>
              <w:spacing w:line="240" w:lineRule="auto"/>
              <w:ind w:firstLine="0" w:firstLineChars="0"/>
              <w:jc w:val="center"/>
              <w:rPr>
                <w:rFonts w:hint="eastAsia" w:ascii="仿宋" w:hAnsi="仿宋" w:eastAsia="仿宋"/>
                <w:szCs w:val="21"/>
                <w:u w:val="none"/>
              </w:rPr>
            </w:pPr>
          </w:p>
        </w:tc>
        <w:tc>
          <w:tcPr>
            <w:tcW w:w="1285" w:type="dxa"/>
            <w:noWrap w:val="0"/>
            <w:vAlign w:val="center"/>
          </w:tcPr>
          <w:p>
            <w:pPr>
              <w:adjustRightInd w:val="0"/>
              <w:snapToGrid w:val="0"/>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szCs w:val="21"/>
                <w:u w:val="none"/>
              </w:rPr>
              <w:t>80</w:t>
            </w:r>
          </w:p>
        </w:tc>
      </w:tr>
    </w:tbl>
    <w:p>
      <w:pPr>
        <w:ind w:firstLine="480"/>
        <w:rPr>
          <w:rFonts w:hint="eastAsia" w:ascii="宋体" w:hAnsi="宋体"/>
          <w:szCs w:val="24"/>
          <w:u w:val="none"/>
        </w:rPr>
      </w:pPr>
      <w:r>
        <w:rPr>
          <w:rFonts w:hint="eastAsia" w:ascii="宋体" w:hAnsi="宋体"/>
          <w:szCs w:val="24"/>
          <w:u w:val="none"/>
        </w:rPr>
        <w:t>（4）创新创业类</w:t>
      </w:r>
    </w:p>
    <w:p>
      <w:pPr>
        <w:ind w:firstLine="480"/>
        <w:rPr>
          <w:rFonts w:hint="eastAsia" w:ascii="宋体" w:hAnsi="宋体"/>
          <w:szCs w:val="24"/>
          <w:u w:val="none"/>
        </w:rPr>
      </w:pPr>
      <w:r>
        <w:rPr>
          <w:rFonts w:hint="eastAsia" w:ascii="宋体" w:hAnsi="宋体"/>
          <w:szCs w:val="24"/>
          <w:u w:val="none"/>
          <w:lang w:val="en-US" w:eastAsia="zh-CN"/>
        </w:rPr>
        <w:t>现代</w:t>
      </w:r>
      <w:r>
        <w:rPr>
          <w:rFonts w:hint="eastAsia" w:ascii="宋体" w:hAnsi="宋体"/>
          <w:szCs w:val="24"/>
          <w:u w:val="none"/>
        </w:rPr>
        <w:t>物业管理专业学生获得省级及以上的创新创业项目（重点或一般）立项并完成项目，在校创业期间获得一定成绩诸如营业收入、专利、公开发表论文等等。可根据下表转换为对应具体课程的学分和成绩。</w:t>
      </w:r>
    </w:p>
    <w:p>
      <w:pPr>
        <w:ind w:firstLine="422"/>
        <w:jc w:val="center"/>
        <w:rPr>
          <w:rFonts w:hint="eastAsia" w:ascii="黑体" w:hAnsi="黑体" w:eastAsia="黑体" w:cs="黑体"/>
          <w:b/>
          <w:sz w:val="21"/>
          <w:szCs w:val="21"/>
          <w:u w:val="none"/>
        </w:rPr>
      </w:pPr>
      <w:r>
        <w:rPr>
          <w:rFonts w:hint="eastAsia" w:ascii="黑体" w:hAnsi="黑体" w:eastAsia="黑体" w:cs="黑体"/>
          <w:b/>
          <w:sz w:val="21"/>
          <w:szCs w:val="21"/>
          <w:u w:val="none"/>
        </w:rPr>
        <w:t>表9-4 技能竞赛与转换课程表</w:t>
      </w:r>
    </w:p>
    <w:tbl>
      <w:tblPr>
        <w:tblStyle w:val="16"/>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29"/>
        <w:gridCol w:w="3217"/>
        <w:gridCol w:w="763"/>
        <w:gridCol w:w="1898"/>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spacing w:line="300" w:lineRule="auto"/>
              <w:ind w:firstLine="0" w:firstLineChars="0"/>
              <w:jc w:val="center"/>
              <w:rPr>
                <w:rFonts w:hint="eastAsia" w:ascii="仿宋" w:hAnsi="仿宋" w:eastAsia="仿宋"/>
                <w:b/>
                <w:bCs/>
                <w:sz w:val="21"/>
                <w:szCs w:val="21"/>
                <w:u w:val="none"/>
              </w:rPr>
            </w:pPr>
            <w:bookmarkStart w:id="168" w:name="_Toc32675"/>
            <w:bookmarkStart w:id="169" w:name="_Toc3812"/>
            <w:bookmarkStart w:id="170" w:name="_Toc2236"/>
            <w:bookmarkStart w:id="171" w:name="_Toc77759109"/>
            <w:r>
              <w:rPr>
                <w:rFonts w:hint="eastAsia" w:ascii="仿宋" w:hAnsi="仿宋" w:eastAsia="仿宋"/>
                <w:b/>
                <w:bCs/>
                <w:sz w:val="21"/>
                <w:szCs w:val="21"/>
                <w:u w:val="none"/>
              </w:rPr>
              <w:t>序号</w:t>
            </w:r>
          </w:p>
        </w:tc>
        <w:tc>
          <w:tcPr>
            <w:tcW w:w="1729" w:type="dxa"/>
            <w:noWrap w:val="0"/>
            <w:vAlign w:val="center"/>
          </w:tcPr>
          <w:p>
            <w:pPr>
              <w:spacing w:line="300" w:lineRule="auto"/>
              <w:ind w:firstLine="0" w:firstLineChars="0"/>
              <w:jc w:val="center"/>
              <w:rPr>
                <w:rFonts w:hint="eastAsia" w:ascii="仿宋" w:hAnsi="仿宋" w:eastAsia="仿宋"/>
                <w:b/>
                <w:bCs/>
                <w:sz w:val="21"/>
                <w:szCs w:val="21"/>
                <w:u w:val="none"/>
              </w:rPr>
            </w:pPr>
            <w:r>
              <w:rPr>
                <w:rFonts w:hint="eastAsia" w:ascii="仿宋" w:hAnsi="仿宋" w:eastAsia="仿宋"/>
                <w:b/>
                <w:bCs/>
                <w:sz w:val="21"/>
                <w:szCs w:val="21"/>
                <w:u w:val="none"/>
              </w:rPr>
              <w:t>课外创业活动</w:t>
            </w:r>
          </w:p>
        </w:tc>
        <w:tc>
          <w:tcPr>
            <w:tcW w:w="3217" w:type="dxa"/>
            <w:noWrap w:val="0"/>
            <w:vAlign w:val="center"/>
          </w:tcPr>
          <w:p>
            <w:pPr>
              <w:spacing w:line="300" w:lineRule="auto"/>
              <w:ind w:firstLine="0" w:firstLineChars="0"/>
              <w:jc w:val="center"/>
              <w:rPr>
                <w:rFonts w:hint="eastAsia" w:ascii="仿宋" w:hAnsi="仿宋" w:eastAsia="仿宋"/>
                <w:b/>
                <w:bCs/>
                <w:sz w:val="21"/>
                <w:szCs w:val="21"/>
                <w:u w:val="none"/>
              </w:rPr>
            </w:pPr>
            <w:r>
              <w:rPr>
                <w:rFonts w:hint="eastAsia" w:ascii="仿宋" w:hAnsi="仿宋" w:eastAsia="仿宋"/>
                <w:b/>
                <w:bCs/>
                <w:sz w:val="21"/>
                <w:szCs w:val="21"/>
                <w:u w:val="none"/>
              </w:rPr>
              <w:t>学分申请要求</w:t>
            </w:r>
          </w:p>
        </w:tc>
        <w:tc>
          <w:tcPr>
            <w:tcW w:w="763" w:type="dxa"/>
            <w:noWrap w:val="0"/>
            <w:vAlign w:val="center"/>
          </w:tcPr>
          <w:p>
            <w:pPr>
              <w:spacing w:line="300" w:lineRule="auto"/>
              <w:ind w:firstLine="0" w:firstLineChars="0"/>
              <w:jc w:val="center"/>
              <w:rPr>
                <w:rFonts w:hint="eastAsia" w:ascii="仿宋" w:hAnsi="仿宋" w:eastAsia="仿宋"/>
                <w:b/>
                <w:bCs/>
                <w:sz w:val="21"/>
                <w:szCs w:val="21"/>
                <w:u w:val="none"/>
              </w:rPr>
            </w:pPr>
            <w:r>
              <w:rPr>
                <w:rFonts w:hint="eastAsia" w:ascii="仿宋" w:hAnsi="仿宋" w:eastAsia="仿宋"/>
                <w:b/>
                <w:bCs/>
                <w:sz w:val="21"/>
                <w:szCs w:val="21"/>
                <w:u w:val="none"/>
              </w:rPr>
              <w:t>学分</w:t>
            </w:r>
          </w:p>
        </w:tc>
        <w:tc>
          <w:tcPr>
            <w:tcW w:w="1898" w:type="dxa"/>
            <w:noWrap w:val="0"/>
            <w:vAlign w:val="center"/>
          </w:tcPr>
          <w:p>
            <w:pPr>
              <w:spacing w:line="300" w:lineRule="auto"/>
              <w:ind w:firstLine="0" w:firstLineChars="0"/>
              <w:jc w:val="center"/>
              <w:rPr>
                <w:rFonts w:hint="eastAsia" w:ascii="仿宋" w:hAnsi="仿宋" w:eastAsia="仿宋"/>
                <w:b/>
                <w:bCs/>
                <w:sz w:val="21"/>
                <w:szCs w:val="21"/>
                <w:u w:val="none"/>
              </w:rPr>
            </w:pPr>
            <w:r>
              <w:rPr>
                <w:rFonts w:hint="eastAsia" w:ascii="仿宋" w:hAnsi="仿宋" w:eastAsia="仿宋"/>
                <w:b/>
                <w:bCs/>
                <w:sz w:val="21"/>
                <w:szCs w:val="21"/>
                <w:u w:val="none"/>
              </w:rPr>
              <w:t>可转换课程</w:t>
            </w:r>
          </w:p>
        </w:tc>
        <w:tc>
          <w:tcPr>
            <w:tcW w:w="664" w:type="dxa"/>
            <w:noWrap w:val="0"/>
            <w:vAlign w:val="center"/>
          </w:tcPr>
          <w:p>
            <w:pPr>
              <w:spacing w:line="300" w:lineRule="auto"/>
              <w:ind w:firstLine="0" w:firstLineChars="0"/>
              <w:jc w:val="center"/>
              <w:rPr>
                <w:rFonts w:hint="eastAsia" w:ascii="仿宋" w:hAnsi="仿宋" w:eastAsia="仿宋"/>
                <w:b/>
                <w:bCs/>
                <w:sz w:val="21"/>
                <w:szCs w:val="21"/>
                <w:u w:val="none"/>
              </w:rPr>
            </w:pPr>
            <w:r>
              <w:rPr>
                <w:rFonts w:hint="eastAsia" w:ascii="仿宋" w:hAnsi="仿宋" w:eastAsia="仿宋"/>
                <w:b/>
                <w:bCs/>
                <w:sz w:val="21"/>
                <w:szCs w:val="21"/>
                <w:u w:val="none"/>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1</w:t>
            </w:r>
          </w:p>
        </w:tc>
        <w:tc>
          <w:tcPr>
            <w:tcW w:w="1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注册公司、工作室、事务所等</w:t>
            </w:r>
          </w:p>
        </w:tc>
        <w:tc>
          <w:tcPr>
            <w:tcW w:w="3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运营半年，经学院认定</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10</w:t>
            </w:r>
          </w:p>
        </w:tc>
        <w:tc>
          <w:tcPr>
            <w:tcW w:w="18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sz w:val="21"/>
                <w:szCs w:val="21"/>
                <w:u w:val="none"/>
              </w:rPr>
            </w:pPr>
            <w:r>
              <w:rPr>
                <w:rFonts w:hint="eastAsia" w:ascii="仿宋" w:hAnsi="仿宋" w:eastAsia="仿宋" w:cs="仿宋"/>
                <w:sz w:val="21"/>
                <w:szCs w:val="21"/>
                <w:u w:val="none"/>
                <w:lang w:eastAsia="zh-CN"/>
              </w:rPr>
              <w:t>岗位</w:t>
            </w:r>
            <w:r>
              <w:rPr>
                <w:rFonts w:hint="eastAsia" w:ascii="仿宋" w:hAnsi="仿宋" w:eastAsia="仿宋" w:cs="仿宋"/>
                <w:sz w:val="21"/>
                <w:szCs w:val="21"/>
                <w:u w:val="none"/>
              </w:rPr>
              <w:t>实习、毕业综合实训</w:t>
            </w:r>
            <w:r>
              <w:rPr>
                <w:rFonts w:hint="eastAsia" w:ascii="仿宋" w:hAnsi="仿宋" w:eastAsia="仿宋"/>
                <w:sz w:val="21"/>
                <w:szCs w:val="21"/>
                <w:u w:val="none"/>
              </w:rPr>
              <w:t>、大学生创新基础、大学生创业</w:t>
            </w:r>
            <w:r>
              <w:rPr>
                <w:rFonts w:hint="eastAsia" w:ascii="仿宋" w:hAnsi="仿宋" w:eastAsia="仿宋"/>
                <w:sz w:val="21"/>
                <w:szCs w:val="21"/>
                <w:u w:val="none"/>
                <w:lang w:val="en-US" w:eastAsia="zh-CN"/>
              </w:rPr>
              <w:t>基础</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lang w:eastAsia="zh-CN"/>
              </w:rPr>
            </w:pPr>
            <w:r>
              <w:rPr>
                <w:rFonts w:hint="eastAsia" w:ascii="仿宋" w:hAnsi="仿宋" w:eastAsia="仿宋"/>
                <w:sz w:val="21"/>
                <w:szCs w:val="21"/>
                <w:u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noWrap w:val="0"/>
            <w:vAlign w:val="center"/>
          </w:tcPr>
          <w:p>
            <w:pPr>
              <w:spacing w:line="300" w:lineRule="auto"/>
              <w:ind w:firstLine="0" w:firstLineChars="0"/>
              <w:jc w:val="center"/>
              <w:rPr>
                <w:rFonts w:hint="eastAsia" w:ascii="仿宋" w:hAnsi="仿宋" w:eastAsia="仿宋"/>
                <w:sz w:val="21"/>
                <w:szCs w:val="21"/>
                <w:u w:val="none"/>
              </w:rPr>
            </w:pPr>
          </w:p>
        </w:tc>
        <w:tc>
          <w:tcPr>
            <w:tcW w:w="1729" w:type="dxa"/>
            <w:vMerge w:val="continue"/>
            <w:noWrap w:val="0"/>
            <w:vAlign w:val="center"/>
          </w:tcPr>
          <w:p>
            <w:pPr>
              <w:spacing w:line="300" w:lineRule="auto"/>
              <w:ind w:firstLine="0" w:firstLineChars="0"/>
              <w:jc w:val="center"/>
              <w:rPr>
                <w:rFonts w:hint="eastAsia" w:ascii="仿宋" w:hAnsi="仿宋" w:eastAsia="仿宋"/>
                <w:sz w:val="21"/>
                <w:szCs w:val="21"/>
                <w:u w:val="none"/>
              </w:rPr>
            </w:pPr>
          </w:p>
        </w:tc>
        <w:tc>
          <w:tcPr>
            <w:tcW w:w="3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运营一年，经学院认定</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15</w:t>
            </w:r>
          </w:p>
        </w:tc>
        <w:tc>
          <w:tcPr>
            <w:tcW w:w="1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sz w:val="21"/>
                <w:szCs w:val="21"/>
                <w:u w:val="none"/>
              </w:rPr>
            </w:pPr>
            <w:r>
              <w:rPr>
                <w:rFonts w:hint="eastAsia" w:ascii="仿宋" w:hAnsi="仿宋" w:eastAsia="仿宋"/>
                <w:sz w:val="21"/>
                <w:szCs w:val="21"/>
                <w:u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noWrap w:val="0"/>
            <w:vAlign w:val="center"/>
          </w:tcPr>
          <w:p>
            <w:pPr>
              <w:spacing w:line="300" w:lineRule="auto"/>
              <w:ind w:firstLine="0" w:firstLineChars="0"/>
              <w:jc w:val="center"/>
              <w:rPr>
                <w:rFonts w:hint="eastAsia" w:ascii="仿宋" w:hAnsi="仿宋" w:eastAsia="仿宋"/>
                <w:sz w:val="21"/>
                <w:szCs w:val="21"/>
                <w:u w:val="none"/>
              </w:rPr>
            </w:pPr>
          </w:p>
        </w:tc>
        <w:tc>
          <w:tcPr>
            <w:tcW w:w="1729" w:type="dxa"/>
            <w:vMerge w:val="continue"/>
            <w:noWrap w:val="0"/>
            <w:vAlign w:val="center"/>
          </w:tcPr>
          <w:p>
            <w:pPr>
              <w:spacing w:line="300" w:lineRule="auto"/>
              <w:ind w:firstLine="0" w:firstLineChars="0"/>
              <w:jc w:val="center"/>
              <w:rPr>
                <w:rFonts w:hint="eastAsia" w:ascii="仿宋" w:hAnsi="仿宋" w:eastAsia="仿宋"/>
                <w:sz w:val="21"/>
                <w:szCs w:val="21"/>
                <w:u w:val="none"/>
              </w:rPr>
            </w:pPr>
          </w:p>
        </w:tc>
        <w:tc>
          <w:tcPr>
            <w:tcW w:w="3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平稳运营，并获得一定的资金资助，经学院认定</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sz w:val="21"/>
                <w:szCs w:val="21"/>
                <w:u w:val="none"/>
              </w:rPr>
            </w:pPr>
            <w:r>
              <w:rPr>
                <w:rFonts w:hint="eastAsia" w:ascii="仿宋" w:hAnsi="仿宋" w:eastAsia="仿宋"/>
                <w:sz w:val="21"/>
                <w:szCs w:val="21"/>
                <w:u w:val="none"/>
              </w:rPr>
              <w:t>20</w:t>
            </w:r>
          </w:p>
        </w:tc>
        <w:tc>
          <w:tcPr>
            <w:tcW w:w="1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sz w:val="21"/>
                <w:szCs w:val="21"/>
                <w:u w:val="none"/>
              </w:rPr>
            </w:pPr>
            <w:r>
              <w:rPr>
                <w:rFonts w:hint="eastAsia" w:ascii="仿宋" w:hAnsi="仿宋" w:eastAsia="仿宋"/>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2</w:t>
            </w:r>
          </w:p>
        </w:tc>
        <w:tc>
          <w:tcPr>
            <w:tcW w:w="17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其他创业活动</w:t>
            </w:r>
          </w:p>
        </w:tc>
        <w:tc>
          <w:tcPr>
            <w:tcW w:w="3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经学院认定</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r>
              <w:rPr>
                <w:rFonts w:hint="eastAsia" w:ascii="仿宋" w:hAnsi="仿宋" w:eastAsia="仿宋"/>
                <w:sz w:val="21"/>
                <w:szCs w:val="21"/>
                <w:u w:val="none"/>
              </w:rPr>
              <w:t>10</w:t>
            </w:r>
          </w:p>
        </w:tc>
        <w:tc>
          <w:tcPr>
            <w:tcW w:w="1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sz w:val="21"/>
                <w:szCs w:val="21"/>
                <w:u w:val="none"/>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sz w:val="21"/>
                <w:szCs w:val="21"/>
                <w:u w:val="none"/>
              </w:rPr>
            </w:pPr>
            <w:r>
              <w:rPr>
                <w:rFonts w:hint="eastAsia" w:ascii="仿宋" w:hAnsi="仿宋" w:eastAsia="仿宋"/>
                <w:sz w:val="21"/>
                <w:szCs w:val="21"/>
                <w:u w:val="none"/>
              </w:rPr>
              <w:t>85</w:t>
            </w:r>
          </w:p>
        </w:tc>
      </w:tr>
    </w:tbl>
    <w:p>
      <w:pPr>
        <w:ind w:left="480" w:firstLine="0" w:firstLineChars="0"/>
        <w:outlineLvl w:val="2"/>
        <w:rPr>
          <w:rFonts w:hint="eastAsia" w:ascii="宋体" w:hAnsi="宋体"/>
          <w:b/>
          <w:bCs/>
          <w:szCs w:val="24"/>
          <w:u w:val="none"/>
        </w:rPr>
      </w:pPr>
      <w:r>
        <w:rPr>
          <w:rFonts w:hint="eastAsia" w:ascii="楷体" w:hAnsi="楷体" w:eastAsia="楷体" w:cs="楷体"/>
          <w:b/>
          <w:bCs/>
          <w:szCs w:val="24"/>
          <w:u w:val="none"/>
        </w:rPr>
        <w:t>2.学分认定与转换的程序</w:t>
      </w:r>
      <w:bookmarkEnd w:id="168"/>
      <w:bookmarkEnd w:id="169"/>
      <w:bookmarkEnd w:id="170"/>
      <w:bookmarkEnd w:id="171"/>
    </w:p>
    <w:p>
      <w:pPr>
        <w:adjustRightInd w:val="0"/>
        <w:snapToGrid w:val="0"/>
        <w:spacing w:line="360" w:lineRule="auto"/>
        <w:ind w:firstLine="480" w:firstLineChars="200"/>
        <w:rPr>
          <w:rFonts w:ascii="宋体" w:hAnsi="宋体"/>
          <w:bCs/>
          <w:sz w:val="24"/>
          <w:u w:val="none"/>
        </w:rPr>
      </w:pPr>
      <w:r>
        <w:rPr>
          <w:rFonts w:hint="eastAsia" w:ascii="宋体" w:hAnsi="宋体"/>
          <w:bCs/>
          <w:sz w:val="24"/>
          <w:u w:val="none"/>
        </w:rPr>
        <w:t>申请学分认定与转换的流程：</w:t>
      </w:r>
    </w:p>
    <w:p>
      <w:pPr>
        <w:adjustRightInd w:val="0"/>
        <w:snapToGrid w:val="0"/>
        <w:spacing w:line="360" w:lineRule="auto"/>
        <w:ind w:firstLine="480" w:firstLineChars="200"/>
        <w:rPr>
          <w:rFonts w:ascii="宋体" w:hAnsi="宋体"/>
          <w:bCs/>
          <w:sz w:val="24"/>
          <w:u w:val="none"/>
        </w:rPr>
      </w:pPr>
      <w:r>
        <w:rPr>
          <w:rFonts w:hint="eastAsia" w:ascii="宋体" w:hAnsi="宋体"/>
          <w:bCs/>
          <w:sz w:val="24"/>
          <w:u w:val="none"/>
        </w:rPr>
        <w:t>由学生本人提出申请，并附相关证明材料，提交至所在系。学生所在系初步审核，</w:t>
      </w:r>
      <w:r>
        <w:rPr>
          <w:rFonts w:hint="eastAsia" w:ascii="宋体" w:hAnsi="宋体"/>
          <w:bCs/>
          <w:sz w:val="24"/>
          <w:u w:val="none"/>
          <w:lang w:val="en-US" w:eastAsia="zh-CN"/>
        </w:rPr>
        <w:t>教务处复核并</w:t>
      </w:r>
      <w:r>
        <w:rPr>
          <w:rFonts w:hint="eastAsia" w:ascii="宋体" w:hAnsi="宋体"/>
          <w:bCs/>
          <w:sz w:val="24"/>
          <w:u w:val="none"/>
        </w:rPr>
        <w:t>汇总填写《安徽审计职业学院学分认定与转换备案表》，报分管教学副院长审批，教务处备案执行。各系初步审核时，应审核证书原件，收齐复印件；先后获得同一系列不同等级的证书，按较高等级证书获得相应学分，不重复计算。</w:t>
      </w:r>
    </w:p>
    <w:p>
      <w:pPr>
        <w:spacing w:line="360" w:lineRule="auto"/>
        <w:ind w:firstLine="480" w:firstLineChars="200"/>
        <w:rPr>
          <w:rFonts w:hint="eastAsia" w:ascii="宋体" w:hAnsi="宋体"/>
          <w:szCs w:val="24"/>
          <w:u w:val="none"/>
        </w:rPr>
      </w:pPr>
      <w:r>
        <w:rPr>
          <w:rFonts w:hint="eastAsia" w:ascii="宋体" w:hAnsi="宋体"/>
          <w:bCs/>
          <w:sz w:val="24"/>
          <w:u w:val="none"/>
        </w:rPr>
        <w:t>如果在课程考试前未取得相关证书，则必须参加课程考试，事后取得证书也不再改动该课程成绩，但如果课程考试不合格，考试后通过相关资格证书的考试，该证书可以作为补考合格（免予补考）的依据。</w:t>
      </w:r>
    </w:p>
    <w:p>
      <w:pPr>
        <w:pStyle w:val="3"/>
        <w:ind w:firstLine="562"/>
        <w:rPr>
          <w:rFonts w:hint="eastAsia"/>
          <w:u w:val="none"/>
        </w:rPr>
      </w:pPr>
      <w:bookmarkStart w:id="172" w:name="_Toc27228"/>
      <w:r>
        <w:rPr>
          <w:rFonts w:hint="eastAsia"/>
          <w:u w:val="none"/>
        </w:rPr>
        <w:t>十、毕业要求</w:t>
      </w:r>
      <w:bookmarkEnd w:id="172"/>
    </w:p>
    <w:p>
      <w:pPr>
        <w:adjustRightInd w:val="0"/>
        <w:snapToGrid w:val="0"/>
        <w:spacing w:line="360" w:lineRule="auto"/>
        <w:ind w:firstLine="480" w:firstLineChars="200"/>
        <w:rPr>
          <w:u w:val="none"/>
        </w:rPr>
      </w:pPr>
      <w:r>
        <w:rPr>
          <w:rFonts w:hint="eastAsia"/>
          <w:u w:val="none"/>
        </w:rPr>
        <w:t>毕业要求是学生通过规定年限的学习，须修满的专业人才培养方案所规定的</w:t>
      </w:r>
      <w:r>
        <w:rPr>
          <w:rFonts w:hint="eastAsia"/>
          <w:u w:val="none"/>
          <w:lang w:val="en-US" w:eastAsia="zh-CN"/>
        </w:rPr>
        <w:t>286</w:t>
      </w:r>
      <w:r>
        <w:rPr>
          <w:rFonts w:hint="eastAsia"/>
          <w:u w:val="none"/>
        </w:rPr>
        <w:t>4学时159学分，每位学生每学期需修满专业技能竞赛与实践学分，若学生被指导老师选中却无故推辞参加技能大赛，则可被认定为该门学分没有修满。学生毕业时应完成规定的教学活动，毕业时应达到的</w:t>
      </w:r>
      <w:r>
        <w:rPr>
          <w:rFonts w:hint="eastAsia"/>
          <w:u w:val="none"/>
          <w:lang w:val="en-US" w:eastAsia="zh-CN"/>
        </w:rPr>
        <w:t>知识</w:t>
      </w:r>
      <w:r>
        <w:rPr>
          <w:rFonts w:hint="eastAsia"/>
          <w:u w:val="none"/>
        </w:rPr>
        <w:t>、</w:t>
      </w:r>
      <w:r>
        <w:rPr>
          <w:rFonts w:hint="eastAsia"/>
          <w:u w:val="none"/>
          <w:lang w:val="en-US" w:eastAsia="zh-CN"/>
        </w:rPr>
        <w:t>能力</w:t>
      </w:r>
      <w:r>
        <w:rPr>
          <w:rFonts w:hint="eastAsia"/>
          <w:u w:val="none"/>
        </w:rPr>
        <w:t>和</w:t>
      </w:r>
      <w:r>
        <w:rPr>
          <w:rFonts w:hint="eastAsia"/>
          <w:u w:val="none"/>
          <w:lang w:val="en-US" w:eastAsia="zh-CN"/>
        </w:rPr>
        <w:t>素质</w:t>
      </w:r>
      <w:r>
        <w:rPr>
          <w:rFonts w:hint="eastAsia"/>
          <w:u w:val="none"/>
        </w:rPr>
        <w:t>等方面要求。毕业要求应能支撑培养目标的有效达成。</w:t>
      </w:r>
      <w:bookmarkStart w:id="173" w:name="_Toc16140"/>
      <w:bookmarkStart w:id="174" w:name="_Toc10808"/>
      <w:bookmarkStart w:id="175" w:name="_Toc32711"/>
      <w:r>
        <w:rPr>
          <w:rFonts w:hint="eastAsia" w:ascii="宋体" w:hAnsi="宋体"/>
          <w:bCs/>
          <w:sz w:val="24"/>
          <w:u w:val="none"/>
          <w:lang w:val="en-US" w:eastAsia="zh-CN"/>
        </w:rPr>
        <w:t>要求学生积极参加体育俱乐部和文学艺术俱乐部，取得某一俱乐部初级会员或国家级相应等级资格考试证书等，可以计2学分。</w:t>
      </w:r>
    </w:p>
    <w:p>
      <w:pPr>
        <w:pStyle w:val="3"/>
        <w:ind w:left="0" w:leftChars="0" w:firstLine="562" w:firstLineChars="200"/>
        <w:rPr>
          <w:rFonts w:hint="eastAsia"/>
          <w:u w:val="none"/>
        </w:rPr>
      </w:pPr>
      <w:bookmarkStart w:id="176" w:name="_Toc21773"/>
      <w:r>
        <w:rPr>
          <w:rFonts w:hint="eastAsia"/>
          <w:u w:val="none"/>
        </w:rPr>
        <w:t>十一、附录</w:t>
      </w:r>
      <w:bookmarkEnd w:id="176"/>
    </w:p>
    <w:p>
      <w:pPr>
        <w:pStyle w:val="4"/>
        <w:numPr>
          <w:ilvl w:val="0"/>
          <w:numId w:val="2"/>
        </w:numPr>
        <w:ind w:firstLineChars="0"/>
        <w:rPr>
          <w:rFonts w:hint="eastAsia"/>
          <w:u w:val="none"/>
        </w:rPr>
      </w:pPr>
      <w:bookmarkStart w:id="177" w:name="_Toc3311"/>
      <w:r>
        <w:rPr>
          <w:rFonts w:hint="eastAsia"/>
          <w:u w:val="none"/>
        </w:rPr>
        <w:t>教育活动设计</w:t>
      </w:r>
      <w:bookmarkEnd w:id="177"/>
    </w:p>
    <w:p>
      <w:pPr>
        <w:overflowPunct w:val="0"/>
        <w:adjustRightInd w:val="0"/>
        <w:snapToGrid w:val="0"/>
        <w:spacing w:line="420" w:lineRule="exact"/>
        <w:ind w:firstLine="0" w:firstLineChars="0"/>
        <w:jc w:val="center"/>
        <w:rPr>
          <w:rFonts w:hint="eastAsia" w:ascii="仿宋_GB2312" w:hAnsi="仿宋_GB2312" w:eastAsia="仿宋_GB2312" w:cs="仿宋_GB2312"/>
          <w:b/>
          <w:bCs/>
          <w:sz w:val="32"/>
          <w:szCs w:val="32"/>
          <w:u w:val="none"/>
        </w:rPr>
      </w:pPr>
      <w:r>
        <w:rPr>
          <w:rFonts w:hint="eastAsia" w:ascii="黑体" w:hAnsi="黑体" w:eastAsia="黑体" w:cs="黑体"/>
          <w:b/>
          <w:bCs/>
          <w:sz w:val="21"/>
          <w:szCs w:val="21"/>
          <w:u w:val="none"/>
        </w:rPr>
        <w:t>表11-1 现代物业管理专业教育活动设计</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2615"/>
        <w:gridCol w:w="1195"/>
        <w:gridCol w:w="176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43" w:type="pct"/>
            <w:noWrap w:val="0"/>
            <w:vAlign w:val="center"/>
          </w:tcPr>
          <w:p>
            <w:pPr>
              <w:spacing w:line="240" w:lineRule="auto"/>
              <w:ind w:firstLine="0" w:firstLineChars="0"/>
              <w:jc w:val="center"/>
              <w:rPr>
                <w:rFonts w:hint="eastAsia" w:ascii="黑体" w:hAnsi="黑体" w:eastAsia="黑体" w:cs="黑体"/>
                <w:b/>
                <w:bCs/>
                <w:sz w:val="21"/>
                <w:u w:val="none"/>
              </w:rPr>
            </w:pPr>
            <w:r>
              <w:rPr>
                <w:rFonts w:hint="eastAsia" w:ascii="黑体" w:hAnsi="黑体" w:eastAsia="黑体" w:cs="黑体"/>
                <w:b/>
                <w:bCs/>
                <w:kern w:val="0"/>
                <w:sz w:val="21"/>
                <w:szCs w:val="21"/>
                <w:u w:val="none"/>
              </w:rPr>
              <w:t>活动时间</w:t>
            </w:r>
          </w:p>
        </w:tc>
        <w:tc>
          <w:tcPr>
            <w:tcW w:w="1407" w:type="pct"/>
            <w:noWrap w:val="0"/>
            <w:vAlign w:val="center"/>
          </w:tcPr>
          <w:p>
            <w:pPr>
              <w:spacing w:line="240" w:lineRule="auto"/>
              <w:ind w:firstLine="0" w:firstLineChars="0"/>
              <w:jc w:val="center"/>
              <w:rPr>
                <w:rFonts w:hint="eastAsia" w:ascii="黑体" w:hAnsi="黑体" w:eastAsia="黑体" w:cs="黑体"/>
                <w:b/>
                <w:bCs/>
                <w:sz w:val="21"/>
                <w:u w:val="none"/>
              </w:rPr>
            </w:pPr>
            <w:r>
              <w:rPr>
                <w:rFonts w:hint="eastAsia" w:ascii="黑体" w:hAnsi="黑体" w:eastAsia="黑体" w:cs="黑体"/>
                <w:b/>
                <w:bCs/>
                <w:kern w:val="0"/>
                <w:sz w:val="21"/>
                <w:szCs w:val="21"/>
                <w:u w:val="none"/>
              </w:rPr>
              <w:t>活动主题</w:t>
            </w:r>
          </w:p>
        </w:tc>
        <w:tc>
          <w:tcPr>
            <w:tcW w:w="643" w:type="pct"/>
            <w:noWrap w:val="0"/>
            <w:vAlign w:val="center"/>
          </w:tcPr>
          <w:p>
            <w:pPr>
              <w:spacing w:line="240" w:lineRule="auto"/>
              <w:ind w:firstLine="0" w:firstLineChars="0"/>
              <w:jc w:val="center"/>
              <w:rPr>
                <w:rFonts w:hint="eastAsia" w:ascii="黑体" w:hAnsi="黑体" w:eastAsia="黑体" w:cs="黑体"/>
                <w:b/>
                <w:bCs/>
                <w:sz w:val="21"/>
                <w:u w:val="none"/>
              </w:rPr>
            </w:pPr>
            <w:r>
              <w:rPr>
                <w:rFonts w:hint="eastAsia" w:ascii="黑体" w:hAnsi="黑体" w:eastAsia="黑体" w:cs="黑体"/>
                <w:b/>
                <w:bCs/>
                <w:kern w:val="0"/>
                <w:sz w:val="21"/>
                <w:szCs w:val="21"/>
                <w:u w:val="none"/>
              </w:rPr>
              <w:t>活动形式</w:t>
            </w:r>
          </w:p>
        </w:tc>
        <w:tc>
          <w:tcPr>
            <w:tcW w:w="950" w:type="pct"/>
            <w:noWrap w:val="0"/>
            <w:vAlign w:val="center"/>
          </w:tcPr>
          <w:p>
            <w:pPr>
              <w:spacing w:line="240" w:lineRule="auto"/>
              <w:ind w:firstLine="0" w:firstLineChars="0"/>
              <w:jc w:val="center"/>
              <w:rPr>
                <w:rFonts w:hint="eastAsia" w:ascii="黑体" w:hAnsi="黑体" w:eastAsia="黑体" w:cs="黑体"/>
                <w:b/>
                <w:bCs/>
                <w:sz w:val="21"/>
                <w:u w:val="none"/>
              </w:rPr>
            </w:pPr>
            <w:r>
              <w:rPr>
                <w:rFonts w:hint="eastAsia" w:ascii="黑体" w:hAnsi="黑体" w:eastAsia="黑体" w:cs="黑体"/>
                <w:b/>
                <w:bCs/>
                <w:sz w:val="21"/>
                <w:u w:val="none"/>
              </w:rPr>
              <w:t>评价方式</w:t>
            </w:r>
          </w:p>
        </w:tc>
        <w:tc>
          <w:tcPr>
            <w:tcW w:w="1354" w:type="pct"/>
            <w:noWrap w:val="0"/>
            <w:vAlign w:val="center"/>
          </w:tcPr>
          <w:p>
            <w:pPr>
              <w:spacing w:line="240" w:lineRule="auto"/>
              <w:ind w:firstLine="0" w:firstLineChars="0"/>
              <w:jc w:val="center"/>
              <w:rPr>
                <w:rFonts w:hint="eastAsia" w:ascii="黑体" w:hAnsi="黑体" w:eastAsia="黑体" w:cs="黑体"/>
                <w:b/>
                <w:bCs/>
                <w:sz w:val="21"/>
                <w:u w:val="none"/>
              </w:rPr>
            </w:pPr>
            <w:r>
              <w:rPr>
                <w:rFonts w:hint="eastAsia" w:ascii="黑体" w:hAnsi="黑体" w:eastAsia="黑体" w:cs="黑体"/>
                <w:b/>
                <w:bCs/>
                <w:sz w:val="21"/>
                <w:u w:val="none"/>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43" w:type="pct"/>
            <w:vMerge w:val="restart"/>
            <w:noWrap w:val="0"/>
            <w:vAlign w:val="center"/>
          </w:tcPr>
          <w:p>
            <w:pPr>
              <w:ind w:firstLine="0" w:firstLineChars="0"/>
              <w:jc w:val="center"/>
              <w:rPr>
                <w:rFonts w:ascii="仿宋" w:hAnsi="仿宋" w:eastAsia="仿宋" w:cs="仿宋"/>
                <w:bCs/>
                <w:sz w:val="21"/>
                <w:u w:val="none"/>
              </w:rPr>
            </w:pPr>
            <w:r>
              <w:rPr>
                <w:rFonts w:hint="eastAsia" w:ascii="仿宋" w:hAnsi="仿宋" w:eastAsia="仿宋" w:cs="仿宋"/>
                <w:bCs/>
                <w:sz w:val="21"/>
                <w:u w:val="none"/>
              </w:rPr>
              <w:t>第一</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专业认识</w:t>
            </w:r>
          </w:p>
        </w:tc>
        <w:tc>
          <w:tcPr>
            <w:tcW w:w="643"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restar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辅导员反映意见</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学生意见调查</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党史国史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大学生国家安全教育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资产评估教研室、保卫部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43" w:type="pct"/>
            <w:vMerge w:val="restart"/>
            <w:noWrap w:val="0"/>
            <w:vAlign w:val="center"/>
          </w:tcPr>
          <w:p>
            <w:pPr>
              <w:ind w:firstLine="0" w:firstLineChars="0"/>
              <w:jc w:val="center"/>
              <w:rPr>
                <w:rFonts w:ascii="仿宋" w:hAnsi="仿宋" w:eastAsia="仿宋" w:cs="仿宋"/>
                <w:b/>
                <w:bCs/>
                <w:sz w:val="21"/>
                <w:u w:val="none"/>
              </w:rPr>
            </w:pPr>
            <w:r>
              <w:rPr>
                <w:rFonts w:hint="eastAsia" w:ascii="仿宋" w:hAnsi="仿宋" w:eastAsia="仿宋" w:cs="仿宋"/>
                <w:bCs/>
                <w:sz w:val="21"/>
                <w:u w:val="none"/>
              </w:rPr>
              <w:t>第二</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专业技能考证</w:t>
            </w:r>
          </w:p>
        </w:tc>
        <w:tc>
          <w:tcPr>
            <w:tcW w:w="643"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restar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专家反映意见</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学生意见调查</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辅导员反映意见</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绿色环保教育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大学生国家安全教育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资产评估教研室、保卫部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43" w:type="pct"/>
            <w:vMerge w:val="restart"/>
            <w:noWrap w:val="0"/>
            <w:vAlign w:val="center"/>
          </w:tcPr>
          <w:p>
            <w:pPr>
              <w:ind w:firstLine="0" w:firstLineChars="0"/>
              <w:jc w:val="center"/>
              <w:rPr>
                <w:rFonts w:ascii="仿宋" w:hAnsi="仿宋" w:eastAsia="仿宋" w:cs="仿宋"/>
                <w:b/>
                <w:bCs/>
                <w:sz w:val="21"/>
                <w:u w:val="none"/>
              </w:rPr>
            </w:pPr>
            <w:r>
              <w:rPr>
                <w:rFonts w:hint="eastAsia" w:ascii="仿宋" w:hAnsi="仿宋" w:eastAsia="仿宋" w:cs="仿宋"/>
                <w:bCs/>
                <w:sz w:val="21"/>
                <w:u w:val="none"/>
              </w:rPr>
              <w:t>第三</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建筑及房地产热点问题</w:t>
            </w:r>
          </w:p>
        </w:tc>
        <w:tc>
          <w:tcPr>
            <w:tcW w:w="643"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专家讲座</w:t>
            </w:r>
          </w:p>
        </w:tc>
        <w:tc>
          <w:tcPr>
            <w:tcW w:w="950" w:type="pct"/>
            <w:vMerge w:val="restar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专家反映意见</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学生意见调查</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辅导员反映意见</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国学讲座</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专家讲座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大学生国家安全教育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资产评估教研室、保卫部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pct"/>
            <w:vMerge w:val="restart"/>
            <w:noWrap w:val="0"/>
            <w:vAlign w:val="center"/>
          </w:tcPr>
          <w:p>
            <w:pPr>
              <w:ind w:firstLine="0" w:firstLineChars="0"/>
              <w:jc w:val="center"/>
              <w:rPr>
                <w:rFonts w:ascii="仿宋" w:hAnsi="仿宋" w:eastAsia="仿宋" w:cs="仿宋"/>
                <w:b/>
                <w:bCs/>
                <w:sz w:val="21"/>
                <w:u w:val="none"/>
              </w:rPr>
            </w:pPr>
            <w:r>
              <w:rPr>
                <w:rFonts w:hint="eastAsia" w:ascii="仿宋" w:hAnsi="仿宋" w:eastAsia="仿宋" w:cs="仿宋"/>
                <w:bCs/>
                <w:sz w:val="21"/>
                <w:u w:val="none"/>
              </w:rPr>
              <w:t>第四</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大学生职业生涯设计</w:t>
            </w:r>
          </w:p>
        </w:tc>
        <w:tc>
          <w:tcPr>
            <w:tcW w:w="643"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评比表彰</w:t>
            </w:r>
          </w:p>
        </w:tc>
        <w:tc>
          <w:tcPr>
            <w:tcW w:w="950"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评出一二三等奖</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职业技能大赛</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评比表彰</w:t>
            </w:r>
          </w:p>
        </w:tc>
        <w:tc>
          <w:tcPr>
            <w:tcW w:w="950"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评出一二三等奖</w:t>
            </w: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美学讲座</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restar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学生意见调查</w:t>
            </w:r>
          </w:p>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辅导员反映意见</w:t>
            </w: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大学生安全教育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资产评估教研室、保卫部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643" w:type="pct"/>
            <w:vMerge w:val="restart"/>
            <w:noWrap w:val="0"/>
            <w:vAlign w:val="center"/>
          </w:tcPr>
          <w:p>
            <w:pPr>
              <w:ind w:firstLine="0" w:firstLineChars="0"/>
              <w:jc w:val="center"/>
              <w:rPr>
                <w:rFonts w:ascii="仿宋" w:hAnsi="仿宋" w:eastAsia="仿宋" w:cs="仿宋"/>
                <w:b/>
                <w:bCs/>
                <w:sz w:val="21"/>
                <w:u w:val="none"/>
              </w:rPr>
            </w:pPr>
            <w:r>
              <w:rPr>
                <w:rFonts w:hint="eastAsia" w:ascii="仿宋" w:hAnsi="仿宋" w:eastAsia="仿宋" w:cs="仿宋"/>
                <w:bCs/>
                <w:sz w:val="21"/>
                <w:u w:val="none"/>
              </w:rPr>
              <w:t>第五</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就业教育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restar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学生意见调查</w:t>
            </w:r>
          </w:p>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辅导员反映意见</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中华优秀传统文化</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大学生国家安全教育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资产评估教研室、保卫部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43" w:type="pct"/>
            <w:vMerge w:val="restart"/>
            <w:noWrap w:val="0"/>
            <w:vAlign w:val="center"/>
          </w:tcPr>
          <w:p>
            <w:pPr>
              <w:ind w:firstLine="0" w:firstLineChars="0"/>
              <w:jc w:val="center"/>
              <w:rPr>
                <w:rFonts w:ascii="仿宋" w:hAnsi="仿宋" w:eastAsia="仿宋" w:cs="仿宋"/>
                <w:b/>
                <w:bCs/>
                <w:sz w:val="21"/>
                <w:u w:val="none"/>
              </w:rPr>
            </w:pPr>
            <w:r>
              <w:rPr>
                <w:rFonts w:hint="eastAsia" w:ascii="仿宋" w:hAnsi="仿宋" w:eastAsia="仿宋" w:cs="仿宋"/>
                <w:bCs/>
                <w:sz w:val="21"/>
                <w:u w:val="none"/>
              </w:rPr>
              <w:t>第六</w:t>
            </w:r>
            <w:r>
              <w:rPr>
                <w:rFonts w:hint="eastAsia" w:ascii="仿宋" w:hAnsi="仿宋" w:eastAsia="仿宋" w:cs="仿宋"/>
                <w:kern w:val="0"/>
                <w:sz w:val="21"/>
                <w:szCs w:val="21"/>
                <w:u w:val="none"/>
              </w:rPr>
              <w:t>学期</w:t>
            </w:r>
          </w:p>
        </w:tc>
        <w:tc>
          <w:tcPr>
            <w:tcW w:w="1407" w:type="pc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敬岗爱岗教育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restart"/>
            <w:noWrap w:val="0"/>
            <w:vAlign w:val="center"/>
          </w:tcPr>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辅导员意见</w:t>
            </w:r>
          </w:p>
          <w:p>
            <w:pPr>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学生意见调查</w:t>
            </w:r>
          </w:p>
        </w:tc>
        <w:tc>
          <w:tcPr>
            <w:tcW w:w="1354" w:type="pct"/>
            <w:noWrap w:val="0"/>
            <w:vAlign w:val="center"/>
          </w:tcPr>
          <w:p>
            <w:pPr>
              <w:spacing w:line="300" w:lineRule="auto"/>
              <w:ind w:firstLine="0" w:firstLineChars="0"/>
              <w:jc w:val="center"/>
              <w:rPr>
                <w:rFonts w:ascii="仿宋" w:hAnsi="仿宋" w:eastAsia="仿宋" w:cs="仿宋"/>
                <w:bCs/>
                <w:sz w:val="21"/>
                <w:szCs w:val="21"/>
                <w:u w:val="none"/>
              </w:rPr>
            </w:pPr>
            <w:r>
              <w:rPr>
                <w:rFonts w:hint="eastAsia" w:ascii="仿宋" w:hAnsi="仿宋" w:eastAsia="仿宋" w:cs="仿宋"/>
                <w:bCs/>
                <w:sz w:val="21"/>
                <w:szCs w:val="21"/>
                <w:u w:val="none"/>
              </w:rPr>
              <w:t>资产评估教研室、学生处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43" w:type="pct"/>
            <w:vMerge w:val="continue"/>
            <w:noWrap w:val="0"/>
            <w:vAlign w:val="center"/>
          </w:tcPr>
          <w:p>
            <w:pPr>
              <w:ind w:firstLine="0" w:firstLineChars="0"/>
              <w:jc w:val="center"/>
              <w:rPr>
                <w:rFonts w:hint="eastAsia" w:ascii="仿宋" w:hAnsi="仿宋" w:eastAsia="仿宋" w:cs="仿宋"/>
                <w:bCs/>
                <w:sz w:val="21"/>
                <w:u w:val="none"/>
              </w:rPr>
            </w:pPr>
          </w:p>
        </w:tc>
        <w:tc>
          <w:tcPr>
            <w:tcW w:w="1407"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lang w:eastAsia="zh-CN"/>
              </w:rPr>
              <w:t>岗位</w:t>
            </w:r>
            <w:r>
              <w:rPr>
                <w:rFonts w:hint="eastAsia" w:ascii="仿宋" w:hAnsi="仿宋" w:eastAsia="仿宋" w:cs="仿宋"/>
                <w:bCs/>
                <w:sz w:val="21"/>
                <w:szCs w:val="21"/>
                <w:u w:val="none"/>
              </w:rPr>
              <w:t>实习安全教育</w:t>
            </w:r>
          </w:p>
        </w:tc>
        <w:tc>
          <w:tcPr>
            <w:tcW w:w="643" w:type="pct"/>
            <w:noWrap w:val="0"/>
            <w:vAlign w:val="center"/>
          </w:tcPr>
          <w:p>
            <w:pPr>
              <w:ind w:firstLine="0" w:firstLineChars="0"/>
              <w:jc w:val="center"/>
              <w:rPr>
                <w:rFonts w:hint="eastAsia" w:ascii="仿宋" w:hAnsi="仿宋" w:eastAsia="仿宋" w:cs="仿宋"/>
                <w:bCs/>
                <w:sz w:val="21"/>
                <w:szCs w:val="21"/>
                <w:u w:val="none"/>
              </w:rPr>
            </w:pPr>
            <w:r>
              <w:rPr>
                <w:rFonts w:hint="eastAsia" w:ascii="仿宋" w:hAnsi="仿宋" w:eastAsia="仿宋" w:cs="仿宋"/>
                <w:bCs/>
                <w:sz w:val="21"/>
                <w:szCs w:val="21"/>
                <w:u w:val="none"/>
              </w:rPr>
              <w:t>专题讲座</w:t>
            </w:r>
          </w:p>
        </w:tc>
        <w:tc>
          <w:tcPr>
            <w:tcW w:w="950" w:type="pct"/>
            <w:vMerge w:val="continue"/>
            <w:noWrap w:val="0"/>
            <w:vAlign w:val="center"/>
          </w:tcPr>
          <w:p>
            <w:pPr>
              <w:ind w:firstLine="0" w:firstLineChars="0"/>
              <w:jc w:val="center"/>
              <w:rPr>
                <w:rFonts w:hint="eastAsia" w:ascii="仿宋" w:hAnsi="仿宋" w:eastAsia="仿宋" w:cs="仿宋"/>
                <w:bCs/>
                <w:sz w:val="21"/>
                <w:szCs w:val="21"/>
                <w:u w:val="none"/>
              </w:rPr>
            </w:pPr>
          </w:p>
        </w:tc>
        <w:tc>
          <w:tcPr>
            <w:tcW w:w="1354" w:type="pct"/>
            <w:noWrap w:val="0"/>
            <w:vAlign w:val="center"/>
          </w:tcPr>
          <w:p>
            <w:pPr>
              <w:spacing w:line="300" w:lineRule="auto"/>
              <w:ind w:firstLine="0" w:firstLineChars="0"/>
              <w:jc w:val="center"/>
              <w:rPr>
                <w:rFonts w:hint="eastAsia" w:ascii="仿宋" w:hAnsi="仿宋" w:eastAsia="仿宋" w:cs="仿宋"/>
                <w:bCs/>
                <w:sz w:val="21"/>
                <w:szCs w:val="21"/>
                <w:u w:val="none"/>
                <w:lang w:eastAsia="zh-CN"/>
              </w:rPr>
            </w:pPr>
            <w:r>
              <w:rPr>
                <w:rFonts w:hint="eastAsia" w:ascii="仿宋" w:hAnsi="仿宋" w:eastAsia="仿宋" w:cs="仿宋"/>
                <w:bCs/>
                <w:sz w:val="21"/>
                <w:szCs w:val="21"/>
                <w:u w:val="none"/>
              </w:rPr>
              <w:t>资产评估教研室、</w:t>
            </w:r>
            <w:r>
              <w:rPr>
                <w:rFonts w:hint="eastAsia" w:ascii="仿宋" w:hAnsi="仿宋" w:eastAsia="仿宋" w:cs="仿宋"/>
                <w:bCs/>
                <w:sz w:val="21"/>
                <w:szCs w:val="21"/>
                <w:u w:val="none"/>
                <w:lang w:eastAsia="zh-CN"/>
              </w:rPr>
              <w:t>工程系</w:t>
            </w:r>
          </w:p>
        </w:tc>
      </w:tr>
    </w:tbl>
    <w:p>
      <w:pPr>
        <w:pStyle w:val="4"/>
        <w:numPr>
          <w:ilvl w:val="0"/>
          <w:numId w:val="0"/>
        </w:numPr>
        <w:ind w:firstLine="241" w:firstLineChars="100"/>
        <w:rPr>
          <w:rFonts w:hint="eastAsia"/>
          <w:u w:val="none"/>
        </w:rPr>
      </w:pPr>
      <w:bookmarkStart w:id="178" w:name="_Toc470"/>
      <w:r>
        <w:rPr>
          <w:rFonts w:hint="eastAsia"/>
          <w:u w:val="none"/>
          <w:lang w:eastAsia="zh-CN"/>
        </w:rPr>
        <w:t>（</w:t>
      </w:r>
      <w:r>
        <w:rPr>
          <w:rFonts w:hint="eastAsia"/>
          <w:u w:val="none"/>
          <w:lang w:val="en-US" w:eastAsia="zh-CN"/>
        </w:rPr>
        <w:t>二）</w:t>
      </w:r>
      <w:r>
        <w:rPr>
          <w:rFonts w:hint="eastAsia"/>
          <w:u w:val="none"/>
        </w:rPr>
        <w:t>教学周历</w:t>
      </w:r>
      <w:bookmarkEnd w:id="178"/>
    </w:p>
    <w:p>
      <w:pPr>
        <w:overflowPunct w:val="0"/>
        <w:adjustRightInd w:val="0"/>
        <w:snapToGrid w:val="0"/>
        <w:spacing w:line="420" w:lineRule="exact"/>
        <w:ind w:left="482" w:firstLine="0" w:firstLineChars="0"/>
        <w:jc w:val="center"/>
        <w:rPr>
          <w:rFonts w:hint="eastAsia" w:ascii="黑体" w:hAnsi="黑体" w:eastAsia="黑体"/>
          <w:b/>
          <w:szCs w:val="24"/>
          <w:u w:val="none"/>
        </w:rPr>
      </w:pPr>
      <w:r>
        <w:rPr>
          <w:rFonts w:hint="eastAsia" w:ascii="黑体" w:hAnsi="黑体" w:eastAsia="黑体" w:cs="黑体"/>
          <w:b/>
          <w:bCs/>
          <w:sz w:val="21"/>
          <w:szCs w:val="21"/>
          <w:u w:val="none"/>
        </w:rPr>
        <w:t>表11-2 现代物业管理专业教学周历</w:t>
      </w:r>
    </w:p>
    <w:tbl>
      <w:tblPr>
        <w:tblStyle w:val="16"/>
        <w:tblW w:w="5000" w:type="pct"/>
        <w:jc w:val="center"/>
        <w:tblLayout w:type="fixed"/>
        <w:tblCellMar>
          <w:top w:w="0" w:type="dxa"/>
          <w:left w:w="0" w:type="dxa"/>
          <w:bottom w:w="0" w:type="dxa"/>
          <w:right w:w="0" w:type="dxa"/>
        </w:tblCellMar>
      </w:tblPr>
      <w:tblGrid>
        <w:gridCol w:w="236"/>
        <w:gridCol w:w="236"/>
        <w:gridCol w:w="240"/>
        <w:gridCol w:w="435"/>
        <w:gridCol w:w="441"/>
        <w:gridCol w:w="441"/>
        <w:gridCol w:w="441"/>
        <w:gridCol w:w="441"/>
        <w:gridCol w:w="441"/>
        <w:gridCol w:w="441"/>
        <w:gridCol w:w="329"/>
        <w:gridCol w:w="350"/>
        <w:gridCol w:w="441"/>
        <w:gridCol w:w="441"/>
        <w:gridCol w:w="441"/>
        <w:gridCol w:w="441"/>
        <w:gridCol w:w="442"/>
        <w:gridCol w:w="442"/>
        <w:gridCol w:w="442"/>
        <w:gridCol w:w="442"/>
        <w:gridCol w:w="630"/>
        <w:gridCol w:w="468"/>
      </w:tblGrid>
      <w:tr>
        <w:tblPrEx>
          <w:tblCellMar>
            <w:top w:w="0" w:type="dxa"/>
            <w:left w:w="0" w:type="dxa"/>
            <w:bottom w:w="0" w:type="dxa"/>
            <w:right w:w="0" w:type="dxa"/>
          </w:tblCellMar>
        </w:tblPrEx>
        <w:trPr>
          <w:cantSplit/>
          <w:trHeight w:val="330" w:hRule="atLeast"/>
          <w:jc w:val="center"/>
        </w:trPr>
        <w:tc>
          <w:tcPr>
            <w:tcW w:w="129"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学</w:t>
            </w:r>
          </w:p>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年</w:t>
            </w:r>
          </w:p>
        </w:tc>
        <w:tc>
          <w:tcPr>
            <w:tcW w:w="129"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学</w:t>
            </w:r>
          </w:p>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期</w:t>
            </w:r>
          </w:p>
        </w:tc>
        <w:tc>
          <w:tcPr>
            <w:tcW w:w="4740" w:type="pct"/>
            <w:gridSpan w:val="2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教学周历</w:t>
            </w:r>
          </w:p>
        </w:tc>
      </w:tr>
      <w:tr>
        <w:tblPrEx>
          <w:tblCellMar>
            <w:top w:w="0" w:type="dxa"/>
            <w:left w:w="0" w:type="dxa"/>
            <w:bottom w:w="0" w:type="dxa"/>
            <w:right w:w="0" w:type="dxa"/>
          </w:tblCellMar>
        </w:tblPrEx>
        <w:trPr>
          <w:cantSplit/>
          <w:trHeight w:val="330" w:hRule="atLeast"/>
          <w:jc w:val="center"/>
        </w:trPr>
        <w:tc>
          <w:tcPr>
            <w:tcW w:w="1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仿宋" w:hAnsi="仿宋" w:eastAsia="仿宋"/>
                <w:b/>
                <w:sz w:val="21"/>
                <w:szCs w:val="21"/>
                <w:u w:val="none"/>
              </w:rPr>
            </w:pPr>
          </w:p>
        </w:tc>
        <w:tc>
          <w:tcPr>
            <w:tcW w:w="1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仿宋" w:hAnsi="仿宋" w:eastAsia="仿宋"/>
                <w:b/>
                <w:sz w:val="21"/>
                <w:szCs w:val="21"/>
                <w:u w:val="none"/>
              </w:rPr>
            </w:pP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2</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3</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4</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5</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6</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7</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8</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9</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10</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11</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12</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13</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14</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15</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16</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17</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18</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19</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20</w:t>
            </w:r>
          </w:p>
        </w:tc>
      </w:tr>
      <w:tr>
        <w:tblPrEx>
          <w:tblCellMar>
            <w:top w:w="0" w:type="dxa"/>
            <w:left w:w="0" w:type="dxa"/>
            <w:bottom w:w="0" w:type="dxa"/>
            <w:right w:w="0" w:type="dxa"/>
          </w:tblCellMar>
        </w:tblPrEx>
        <w:trPr>
          <w:cantSplit/>
          <w:trHeight w:val="330" w:hRule="atLeast"/>
          <w:jc w:val="center"/>
        </w:trPr>
        <w:tc>
          <w:tcPr>
            <w:tcW w:w="129" w:type="pct"/>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一</w:t>
            </w: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1</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sz w:val="21"/>
                <w:szCs w:val="21"/>
                <w:u w:val="none"/>
              </w:rPr>
            </w:pP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cs="宋体"/>
                <w:sz w:val="21"/>
                <w:szCs w:val="21"/>
                <w:u w:val="none"/>
              </w:rPr>
            </w:pPr>
            <w:r>
              <w:rPr>
                <w:rFonts w:hint="eastAsia" w:ascii="仿宋" w:hAnsi="仿宋" w:eastAsia="仿宋" w:cs="仿宋"/>
                <w:sz w:val="21"/>
                <w:szCs w:val="21"/>
                <w:u w:val="none"/>
              </w:rPr>
              <w:t>〓</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宋体"/>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r>
      <w:tr>
        <w:tblPrEx>
          <w:tblCellMar>
            <w:top w:w="0" w:type="dxa"/>
            <w:left w:w="0" w:type="dxa"/>
            <w:bottom w:w="0" w:type="dxa"/>
            <w:right w:w="0" w:type="dxa"/>
          </w:tblCellMar>
        </w:tblPrEx>
        <w:trPr>
          <w:cantSplit/>
          <w:trHeight w:val="330" w:hRule="atLeast"/>
          <w:jc w:val="center"/>
        </w:trPr>
        <w:tc>
          <w:tcPr>
            <w:tcW w:w="129"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仿宋" w:hAnsi="仿宋" w:eastAsia="仿宋"/>
                <w:b/>
                <w:sz w:val="21"/>
                <w:szCs w:val="21"/>
                <w:u w:val="none"/>
              </w:rPr>
            </w:pP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2</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r>
      <w:tr>
        <w:tblPrEx>
          <w:tblCellMar>
            <w:top w:w="0" w:type="dxa"/>
            <w:left w:w="0" w:type="dxa"/>
            <w:bottom w:w="0" w:type="dxa"/>
            <w:right w:w="0" w:type="dxa"/>
          </w:tblCellMar>
        </w:tblPrEx>
        <w:trPr>
          <w:cantSplit/>
          <w:trHeight w:val="330" w:hRule="atLeast"/>
          <w:jc w:val="center"/>
        </w:trPr>
        <w:tc>
          <w:tcPr>
            <w:tcW w:w="129" w:type="pct"/>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二</w:t>
            </w: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3</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hint="eastAsia" w:ascii="仿宋" w:hAnsi="仿宋" w:eastAsia="仿宋" w:cs="仿宋"/>
                <w:sz w:val="21"/>
                <w:szCs w:val="21"/>
                <w:u w:val="none"/>
              </w:rPr>
            </w:pPr>
            <w:r>
              <w:rPr>
                <w:rFonts w:hint="eastAsia" w:ascii="仿宋" w:hAnsi="仿宋" w:eastAsia="仿宋" w:cs="宋体"/>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r>
      <w:tr>
        <w:tblPrEx>
          <w:tblCellMar>
            <w:top w:w="0" w:type="dxa"/>
            <w:left w:w="0" w:type="dxa"/>
            <w:bottom w:w="0" w:type="dxa"/>
            <w:right w:w="0" w:type="dxa"/>
          </w:tblCellMar>
        </w:tblPrEx>
        <w:trPr>
          <w:cantSplit/>
          <w:trHeight w:val="330" w:hRule="atLeast"/>
          <w:jc w:val="center"/>
        </w:trPr>
        <w:tc>
          <w:tcPr>
            <w:tcW w:w="129"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仿宋" w:hAnsi="仿宋" w:eastAsia="仿宋"/>
                <w:b/>
                <w:sz w:val="21"/>
                <w:szCs w:val="21"/>
                <w:u w:val="none"/>
              </w:rPr>
            </w:pP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4</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cs="仿宋"/>
                <w:sz w:val="21"/>
                <w:szCs w:val="21"/>
                <w:u w:val="none"/>
              </w:rPr>
            </w:pPr>
            <w:r>
              <w:rPr>
                <w:rFonts w:hint="eastAsia" w:ascii="Calibri" w:hAnsi="Calibri"/>
                <w:sz w:val="21"/>
                <w:u w:val="none"/>
              </w:rPr>
              <w:t>○</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cs="仿宋"/>
                <w:sz w:val="21"/>
                <w:szCs w:val="21"/>
                <w:u w:val="none"/>
              </w:rPr>
            </w:pP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cs="仿宋"/>
                <w:sz w:val="21"/>
                <w:szCs w:val="21"/>
                <w:u w:val="none"/>
              </w:rPr>
            </w:pPr>
            <w:r>
              <w:rPr>
                <w:rFonts w:hint="eastAsia" w:ascii="仿宋" w:hAnsi="仿宋" w:eastAsia="仿宋" w:cs="仿宋"/>
                <w:sz w:val="21"/>
                <w:szCs w:val="21"/>
                <w:u w:val="none"/>
              </w:rPr>
              <w:t>〓</w:t>
            </w:r>
          </w:p>
          <w:p>
            <w:pPr>
              <w:spacing w:line="240" w:lineRule="auto"/>
              <w:ind w:firstLine="0" w:firstLineChars="0"/>
              <w:jc w:val="center"/>
              <w:rPr>
                <w:rFonts w:ascii="仿宋" w:hAnsi="仿宋" w:eastAsia="仿宋"/>
                <w:sz w:val="21"/>
                <w:szCs w:val="21"/>
                <w:u w:val="none"/>
              </w:rPr>
            </w:pP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r>
              <w:rPr>
                <w:rFonts w:hint="eastAsia" w:ascii="Calibri" w:hAnsi="Calibri"/>
                <w:sz w:val="21"/>
                <w:u w:val="none"/>
              </w:rPr>
              <w:t>○</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r>
      <w:tr>
        <w:tblPrEx>
          <w:tblCellMar>
            <w:top w:w="0" w:type="dxa"/>
            <w:left w:w="0" w:type="dxa"/>
            <w:bottom w:w="0" w:type="dxa"/>
            <w:right w:w="0" w:type="dxa"/>
          </w:tblCellMar>
        </w:tblPrEx>
        <w:trPr>
          <w:cantSplit/>
          <w:trHeight w:val="398" w:hRule="atLeast"/>
          <w:jc w:val="center"/>
        </w:trPr>
        <w:tc>
          <w:tcPr>
            <w:tcW w:w="129" w:type="pct"/>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b/>
                <w:sz w:val="21"/>
                <w:szCs w:val="21"/>
                <w:u w:val="none"/>
              </w:rPr>
            </w:pPr>
            <w:r>
              <w:rPr>
                <w:rFonts w:hint="eastAsia" w:ascii="仿宋" w:hAnsi="仿宋" w:eastAsia="仿宋"/>
                <w:b/>
                <w:sz w:val="21"/>
                <w:szCs w:val="21"/>
                <w:u w:val="none"/>
              </w:rPr>
              <w:t>三</w:t>
            </w: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5</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both"/>
              <w:rPr>
                <w:rFonts w:ascii="仿宋" w:hAnsi="仿宋" w:eastAsia="仿宋"/>
                <w:sz w:val="21"/>
                <w:u w:val="none"/>
              </w:rPr>
            </w:pPr>
            <w:r>
              <w:rPr>
                <w:rFonts w:hint="eastAsia" w:ascii="仿宋" w:hAnsi="仿宋" w:eastAsia="仿宋" w:cs="仿宋"/>
                <w:sz w:val="21"/>
                <w:szCs w:val="21"/>
                <w:u w:val="none"/>
              </w:rPr>
              <w:t>〓</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cs="仿宋"/>
                <w:sz w:val="21"/>
                <w:szCs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cs="仿宋"/>
                <w:sz w:val="21"/>
                <w:szCs w:val="21"/>
                <w:u w:val="none"/>
              </w:rPr>
              <w:t>〓</w:t>
            </w:r>
          </w:p>
        </w:tc>
        <w:tc>
          <w:tcPr>
            <w:tcW w:w="346"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仿宋" w:hAnsi="仿宋" w:eastAsia="仿宋" w:cs="宋体"/>
                <w:sz w:val="21"/>
                <w:szCs w:val="21"/>
                <w:u w:val="none"/>
              </w:rPr>
              <w:t>︰</w:t>
            </w:r>
          </w:p>
        </w:tc>
        <w:tc>
          <w:tcPr>
            <w:tcW w:w="257" w:type="pct"/>
            <w:tcBorders>
              <w:top w:val="nil"/>
              <w:left w:val="nil"/>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w:t>
            </w:r>
            <w:r>
              <w:rPr>
                <w:rFonts w:hint="eastAsia" w:ascii="Calibri" w:hAnsi="Calibri" w:cs="宋体"/>
                <w:sz w:val="21"/>
                <w:u w:val="none"/>
              </w:rPr>
              <w:t>︰</w:t>
            </w:r>
          </w:p>
        </w:tc>
      </w:tr>
      <w:tr>
        <w:tblPrEx>
          <w:tblCellMar>
            <w:top w:w="0" w:type="dxa"/>
            <w:left w:w="0" w:type="dxa"/>
            <w:bottom w:w="0" w:type="dxa"/>
            <w:right w:w="0" w:type="dxa"/>
          </w:tblCellMar>
        </w:tblPrEx>
        <w:trPr>
          <w:cantSplit/>
          <w:trHeight w:val="307" w:hRule="atLeast"/>
          <w:jc w:val="center"/>
        </w:trPr>
        <w:tc>
          <w:tcPr>
            <w:tcW w:w="129"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仿宋" w:hAnsi="仿宋" w:eastAsia="仿宋"/>
                <w:b/>
                <w:sz w:val="21"/>
                <w:szCs w:val="21"/>
                <w:u w:val="none"/>
              </w:rPr>
            </w:pPr>
          </w:p>
        </w:tc>
        <w:tc>
          <w:tcPr>
            <w:tcW w:w="129"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szCs w:val="21"/>
                <w:u w:val="none"/>
              </w:rPr>
              <w:t>6</w:t>
            </w:r>
          </w:p>
        </w:tc>
        <w:tc>
          <w:tcPr>
            <w:tcW w:w="131"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38"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180"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19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242" w:type="pct"/>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ind w:firstLine="0" w:firstLineChars="0"/>
              <w:jc w:val="center"/>
              <w:rPr>
                <w:rFonts w:ascii="仿宋" w:hAnsi="仿宋" w:eastAsia="仿宋"/>
                <w:sz w:val="21"/>
                <w:u w:val="none"/>
              </w:rPr>
            </w:pPr>
            <w:r>
              <w:rPr>
                <w:rFonts w:hint="eastAsia" w:ascii="仿宋" w:hAnsi="仿宋" w:eastAsia="仿宋"/>
                <w:sz w:val="21"/>
                <w:u w:val="none"/>
              </w:rPr>
              <w:t>☆</w:t>
            </w:r>
          </w:p>
        </w:tc>
        <w:tc>
          <w:tcPr>
            <w:tcW w:w="346"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u w:val="none"/>
              </w:rPr>
              <w:t>☆</w:t>
            </w:r>
          </w:p>
        </w:tc>
        <w:tc>
          <w:tcPr>
            <w:tcW w:w="257" w:type="pct"/>
            <w:tcBorders>
              <w:top w:val="nil"/>
              <w:left w:val="nil"/>
              <w:bottom w:val="single" w:color="auto" w:sz="4" w:space="0"/>
              <w:right w:val="single" w:color="auto" w:sz="4" w:space="0"/>
            </w:tcBorders>
            <w:noWrap w:val="0"/>
            <w:tcMar>
              <w:top w:w="15" w:type="dxa"/>
              <w:left w:w="15" w:type="dxa"/>
              <w:bottom w:w="0" w:type="dxa"/>
              <w:right w:w="15" w:type="dxa"/>
            </w:tcMar>
            <w:vAlign w:val="top"/>
          </w:tcPr>
          <w:p>
            <w:pPr>
              <w:spacing w:line="240" w:lineRule="auto"/>
              <w:ind w:firstLine="0" w:firstLineChars="0"/>
              <w:jc w:val="center"/>
              <w:rPr>
                <w:rFonts w:ascii="仿宋" w:hAnsi="仿宋" w:eastAsia="仿宋"/>
                <w:sz w:val="21"/>
                <w:szCs w:val="21"/>
                <w:u w:val="none"/>
              </w:rPr>
            </w:pPr>
            <w:r>
              <w:rPr>
                <w:rFonts w:hint="eastAsia" w:ascii="仿宋" w:hAnsi="仿宋" w:eastAsia="仿宋"/>
                <w:sz w:val="21"/>
                <w:u w:val="none"/>
              </w:rPr>
              <w:t>☆</w:t>
            </w:r>
          </w:p>
        </w:tc>
      </w:tr>
    </w:tbl>
    <w:p>
      <w:pPr>
        <w:spacing w:line="280" w:lineRule="exact"/>
        <w:ind w:firstLine="360"/>
        <w:rPr>
          <w:rFonts w:ascii="宋体" w:hAnsi="宋体"/>
          <w:sz w:val="18"/>
          <w:szCs w:val="18"/>
          <w:u w:val="none"/>
        </w:rPr>
      </w:pPr>
      <w:r>
        <w:rPr>
          <w:rFonts w:hint="eastAsia" w:ascii="宋体" w:hAnsi="宋体"/>
          <w:sz w:val="18"/>
          <w:szCs w:val="18"/>
          <w:u w:val="none"/>
        </w:rPr>
        <w:t>入学教育+专业介绍△    军训★        考试</w:t>
      </w:r>
      <w:r>
        <w:rPr>
          <w:rFonts w:hint="eastAsia" w:ascii="宋体" w:hAnsi="宋体" w:cs="宋体"/>
          <w:sz w:val="18"/>
          <w:szCs w:val="18"/>
          <w:u w:val="none"/>
        </w:rPr>
        <w:t>︰</w:t>
      </w:r>
      <w:r>
        <w:rPr>
          <w:rFonts w:hint="eastAsia" w:ascii="宋体" w:hAnsi="宋体"/>
          <w:sz w:val="18"/>
          <w:szCs w:val="18"/>
          <w:u w:val="none"/>
        </w:rPr>
        <w:t xml:space="preserve">         实践教学○     理论（含课程实践）教学〓       </w:t>
      </w:r>
    </w:p>
    <w:p>
      <w:pPr>
        <w:spacing w:line="280" w:lineRule="exact"/>
        <w:ind w:firstLine="399" w:firstLineChars="222"/>
        <w:rPr>
          <w:rFonts w:hint="eastAsia" w:ascii="宋体" w:hAnsi="宋体"/>
          <w:sz w:val="18"/>
          <w:szCs w:val="21"/>
          <w:u w:val="none"/>
        </w:rPr>
      </w:pPr>
      <w:r>
        <w:rPr>
          <w:rFonts w:hint="eastAsia" w:ascii="宋体" w:hAnsi="宋体"/>
          <w:sz w:val="18"/>
          <w:szCs w:val="18"/>
          <w:u w:val="none"/>
          <w:lang w:eastAsia="zh-CN"/>
        </w:rPr>
        <w:t>岗位</w:t>
      </w:r>
      <w:r>
        <w:rPr>
          <w:rFonts w:hint="eastAsia" w:ascii="宋体" w:hAnsi="宋体"/>
          <w:sz w:val="18"/>
          <w:szCs w:val="18"/>
          <w:u w:val="none"/>
        </w:rPr>
        <w:t xml:space="preserve">实习☆           </w:t>
      </w:r>
      <w:r>
        <w:rPr>
          <w:rFonts w:hint="eastAsia" w:ascii="宋体" w:hAnsi="宋体"/>
          <w:sz w:val="18"/>
          <w:szCs w:val="21"/>
          <w:u w:val="none"/>
        </w:rPr>
        <w:t xml:space="preserve"> 复习■          认识实习/      劳动周 ▲</w:t>
      </w:r>
    </w:p>
    <w:p>
      <w:pPr>
        <w:pStyle w:val="4"/>
        <w:numPr>
          <w:ilvl w:val="0"/>
          <w:numId w:val="0"/>
        </w:numPr>
        <w:ind w:left="482" w:leftChars="0"/>
        <w:rPr>
          <w:rFonts w:hint="eastAsia"/>
          <w:u w:val="none"/>
        </w:rPr>
      </w:pPr>
      <w:bookmarkStart w:id="179" w:name="_Toc43"/>
      <w:r>
        <w:rPr>
          <w:rFonts w:hint="eastAsia"/>
          <w:u w:val="none"/>
          <w:lang w:eastAsia="zh-CN"/>
        </w:rPr>
        <w:t>（</w:t>
      </w:r>
      <w:r>
        <w:rPr>
          <w:rFonts w:hint="eastAsia"/>
          <w:u w:val="none"/>
          <w:lang w:val="en-US" w:eastAsia="zh-CN"/>
        </w:rPr>
        <w:t>三）</w:t>
      </w:r>
      <w:r>
        <w:rPr>
          <w:rFonts w:hint="eastAsia"/>
          <w:u w:val="none"/>
        </w:rPr>
        <w:t>课程结构比例分布表</w:t>
      </w:r>
      <w:bookmarkEnd w:id="179"/>
    </w:p>
    <w:p>
      <w:pPr>
        <w:overflowPunct w:val="0"/>
        <w:adjustRightInd w:val="0"/>
        <w:snapToGrid w:val="0"/>
        <w:spacing w:line="420" w:lineRule="exact"/>
        <w:ind w:left="482" w:firstLine="0" w:firstLineChars="0"/>
        <w:jc w:val="center"/>
        <w:rPr>
          <w:rFonts w:ascii="黑体" w:hAnsi="黑体" w:eastAsia="黑体" w:cs="黑体"/>
          <w:b/>
          <w:bCs/>
          <w:sz w:val="21"/>
          <w:szCs w:val="21"/>
          <w:u w:val="none"/>
        </w:rPr>
      </w:pPr>
      <w:r>
        <w:rPr>
          <w:rFonts w:hint="eastAsia" w:ascii="黑体" w:hAnsi="黑体" w:eastAsia="黑体" w:cs="黑体"/>
          <w:b/>
          <w:bCs/>
          <w:sz w:val="21"/>
          <w:szCs w:val="21"/>
          <w:u w:val="none"/>
        </w:rPr>
        <w:t>表11-3 现代物业管理专业课程结构比例分布</w:t>
      </w:r>
    </w:p>
    <w:bookmarkEnd w:id="173"/>
    <w:bookmarkEnd w:id="174"/>
    <w:bookmarkEnd w:id="175"/>
    <w:tbl>
      <w:tblPr>
        <w:tblStyle w:val="16"/>
        <w:tblpPr w:leftFromText="180" w:rightFromText="180" w:vertAnchor="text" w:horzAnchor="page" w:tblpXSpec="center" w:tblpY="379"/>
        <w:tblOverlap w:val="never"/>
        <w:tblW w:w="0" w:type="auto"/>
        <w:jc w:val="center"/>
        <w:tblLayout w:type="fixed"/>
        <w:tblCellMar>
          <w:top w:w="0" w:type="dxa"/>
          <w:left w:w="0" w:type="dxa"/>
          <w:bottom w:w="0" w:type="dxa"/>
          <w:right w:w="0" w:type="dxa"/>
        </w:tblCellMar>
      </w:tblPr>
      <w:tblGrid>
        <w:gridCol w:w="1795"/>
        <w:gridCol w:w="1822"/>
        <w:gridCol w:w="540"/>
        <w:gridCol w:w="860"/>
        <w:gridCol w:w="903"/>
        <w:gridCol w:w="1137"/>
        <w:gridCol w:w="2035"/>
      </w:tblGrid>
      <w:tr>
        <w:tblPrEx>
          <w:tblCellMar>
            <w:top w:w="0" w:type="dxa"/>
            <w:left w:w="0" w:type="dxa"/>
            <w:bottom w:w="0" w:type="dxa"/>
            <w:right w:w="0" w:type="dxa"/>
          </w:tblCellMar>
        </w:tblPrEx>
        <w:trPr>
          <w:cantSplit/>
          <w:trHeight w:val="340" w:hRule="atLeast"/>
          <w:jc w:val="center"/>
        </w:trPr>
        <w:tc>
          <w:tcPr>
            <w:tcW w:w="17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ind w:firstLine="422"/>
              <w:jc w:val="center"/>
              <w:rPr>
                <w:rFonts w:hint="eastAsia" w:ascii="黑体" w:hAnsi="宋体" w:eastAsia="黑体" w:cs="宋体"/>
                <w:b/>
                <w:sz w:val="21"/>
                <w:szCs w:val="21"/>
                <w:u w:val="none"/>
              </w:rPr>
            </w:pPr>
            <w:bookmarkStart w:id="180" w:name="_Toc5633"/>
            <w:bookmarkStart w:id="181" w:name="_Toc76997946"/>
            <w:r>
              <w:rPr>
                <w:rFonts w:hint="eastAsia" w:ascii="黑体" w:hAnsi="宋体" w:eastAsia="黑体" w:cs="宋体"/>
                <w:b/>
                <w:sz w:val="21"/>
                <w:szCs w:val="21"/>
                <w:u w:val="none"/>
              </w:rPr>
              <w:t>课程类别</w:t>
            </w:r>
          </w:p>
        </w:tc>
        <w:tc>
          <w:tcPr>
            <w:tcW w:w="182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ind w:firstLine="0" w:firstLineChars="0"/>
              <w:rPr>
                <w:rFonts w:hint="eastAsia" w:ascii="黑体" w:hAnsi="宋体" w:eastAsia="黑体" w:cs="宋体"/>
                <w:b/>
                <w:sz w:val="21"/>
                <w:szCs w:val="21"/>
                <w:u w:val="none"/>
              </w:rPr>
            </w:pPr>
            <w:r>
              <w:rPr>
                <w:rFonts w:hint="eastAsia" w:ascii="黑体" w:hAnsi="宋体" w:eastAsia="黑体" w:cs="宋体"/>
                <w:b/>
                <w:sz w:val="21"/>
                <w:szCs w:val="21"/>
                <w:u w:val="none"/>
              </w:rPr>
              <w:t>学时分布（理论/实践/理论+实践）</w:t>
            </w:r>
          </w:p>
        </w:tc>
        <w:tc>
          <w:tcPr>
            <w:tcW w:w="5475" w:type="dxa"/>
            <w:gridSpan w:val="5"/>
            <w:tcBorders>
              <w:top w:val="single" w:color="auto" w:sz="4" w:space="0"/>
              <w:left w:val="nil"/>
              <w:bottom w:val="single" w:color="auto" w:sz="4" w:space="0"/>
              <w:right w:val="single" w:color="auto" w:sz="4" w:space="0"/>
            </w:tcBorders>
            <w:noWrap w:val="0"/>
            <w:vAlign w:val="center"/>
          </w:tcPr>
          <w:p>
            <w:pPr>
              <w:spacing w:line="400" w:lineRule="exact"/>
              <w:ind w:firstLine="422"/>
              <w:jc w:val="center"/>
              <w:rPr>
                <w:rFonts w:hint="eastAsia" w:ascii="黑体" w:hAnsi="宋体" w:eastAsia="黑体" w:cs="宋体"/>
                <w:b/>
                <w:sz w:val="21"/>
                <w:szCs w:val="21"/>
                <w:u w:val="none"/>
              </w:rPr>
            </w:pPr>
            <w:r>
              <w:rPr>
                <w:rFonts w:hint="eastAsia" w:ascii="黑体" w:hAnsi="宋体" w:eastAsia="黑体" w:cs="宋体"/>
                <w:b/>
                <w:sz w:val="21"/>
                <w:szCs w:val="21"/>
                <w:u w:val="none"/>
              </w:rPr>
              <w:t>学时结构要求</w:t>
            </w:r>
          </w:p>
        </w:tc>
      </w:tr>
      <w:tr>
        <w:tblPrEx>
          <w:tblCellMar>
            <w:top w:w="0" w:type="dxa"/>
            <w:left w:w="0" w:type="dxa"/>
            <w:bottom w:w="0" w:type="dxa"/>
            <w:right w:w="0" w:type="dxa"/>
          </w:tblCellMar>
        </w:tblPrEx>
        <w:trPr>
          <w:cantSplit/>
          <w:trHeight w:val="468" w:hRule="atLeast"/>
          <w:jc w:val="center"/>
        </w:trPr>
        <w:tc>
          <w:tcPr>
            <w:tcW w:w="1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黑体" w:hAnsi="宋体" w:eastAsia="黑体" w:cs="宋体"/>
                <w:b/>
                <w:sz w:val="21"/>
                <w:szCs w:val="21"/>
                <w:u w:val="none"/>
              </w:rPr>
            </w:pPr>
          </w:p>
        </w:tc>
        <w:tc>
          <w:tcPr>
            <w:tcW w:w="1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黑体" w:hAnsi="宋体" w:eastAsia="黑体" w:cs="宋体"/>
                <w:b/>
                <w:sz w:val="21"/>
                <w:szCs w:val="21"/>
                <w:u w:val="none"/>
              </w:rPr>
            </w:pPr>
          </w:p>
        </w:tc>
        <w:tc>
          <w:tcPr>
            <w:tcW w:w="540" w:type="dxa"/>
            <w:vMerge w:val="restart"/>
            <w:tcBorders>
              <w:top w:val="nil"/>
              <w:left w:val="nil"/>
              <w:bottom w:val="single" w:color="auto" w:sz="4" w:space="0"/>
              <w:right w:val="single" w:color="auto" w:sz="4" w:space="0"/>
            </w:tcBorders>
            <w:noWrap w:val="0"/>
            <w:vAlign w:val="center"/>
          </w:tcPr>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总</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学</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时</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数</w:t>
            </w:r>
          </w:p>
        </w:tc>
        <w:tc>
          <w:tcPr>
            <w:tcW w:w="860" w:type="dxa"/>
            <w:vMerge w:val="restart"/>
            <w:tcBorders>
              <w:top w:val="nil"/>
              <w:left w:val="nil"/>
              <w:bottom w:val="single" w:color="auto" w:sz="4" w:space="0"/>
              <w:right w:val="single" w:color="auto" w:sz="4" w:space="0"/>
            </w:tcBorders>
            <w:noWrap w:val="0"/>
            <w:vAlign w:val="center"/>
          </w:tcPr>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理论</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教学</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学时数</w:t>
            </w:r>
          </w:p>
        </w:tc>
        <w:tc>
          <w:tcPr>
            <w:tcW w:w="903" w:type="dxa"/>
            <w:vMerge w:val="restart"/>
            <w:tcBorders>
              <w:top w:val="nil"/>
              <w:left w:val="nil"/>
              <w:bottom w:val="single" w:color="auto" w:sz="4" w:space="0"/>
              <w:right w:val="single" w:color="auto" w:sz="4" w:space="0"/>
            </w:tcBorders>
            <w:noWrap w:val="0"/>
            <w:vAlign w:val="center"/>
          </w:tcPr>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实践</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教学</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学时数</w:t>
            </w:r>
          </w:p>
        </w:tc>
        <w:tc>
          <w:tcPr>
            <w:tcW w:w="1137" w:type="dxa"/>
            <w:vMerge w:val="restart"/>
            <w:tcBorders>
              <w:top w:val="nil"/>
              <w:left w:val="nil"/>
              <w:bottom w:val="single" w:color="auto" w:sz="4" w:space="0"/>
              <w:right w:val="single" w:color="auto" w:sz="4" w:space="0"/>
            </w:tcBorders>
            <w:noWrap w:val="0"/>
            <w:vAlign w:val="center"/>
          </w:tcPr>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理论+实践教学</w:t>
            </w:r>
          </w:p>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学时数</w:t>
            </w:r>
          </w:p>
        </w:tc>
        <w:tc>
          <w:tcPr>
            <w:tcW w:w="2035" w:type="dxa"/>
            <w:vMerge w:val="restart"/>
            <w:tcBorders>
              <w:top w:val="nil"/>
              <w:left w:val="nil"/>
              <w:bottom w:val="single" w:color="auto" w:sz="4" w:space="0"/>
              <w:right w:val="single" w:color="auto" w:sz="4" w:space="0"/>
            </w:tcBorders>
            <w:noWrap w:val="0"/>
            <w:vAlign w:val="center"/>
          </w:tcPr>
          <w:p>
            <w:pPr>
              <w:widowControl/>
              <w:ind w:firstLine="105" w:firstLineChars="50"/>
              <w:jc w:val="center"/>
              <w:rPr>
                <w:rFonts w:hint="eastAsia" w:ascii="黑体" w:hAnsi="宋体" w:eastAsia="黑体" w:cs="宋体"/>
                <w:b/>
                <w:sz w:val="21"/>
                <w:szCs w:val="21"/>
                <w:u w:val="none"/>
              </w:rPr>
            </w:pPr>
            <w:r>
              <w:rPr>
                <w:rFonts w:hint="eastAsia" w:ascii="黑体" w:hAnsi="宋体" w:eastAsia="黑体" w:cs="宋体"/>
                <w:b/>
                <w:sz w:val="21"/>
                <w:szCs w:val="21"/>
                <w:u w:val="none"/>
              </w:rPr>
              <w:t>理论教学与实践教学与总学时数比例</w:t>
            </w:r>
            <w:r>
              <w:rPr>
                <w:rFonts w:hint="eastAsia" w:ascii="黑体" w:hAnsi="宋体" w:eastAsia="黑体" w:cs="宋体"/>
                <w:b/>
                <w:sz w:val="21"/>
                <w:szCs w:val="21"/>
                <w:u w:val="none"/>
                <w:lang w:eastAsia="zh-CN"/>
              </w:rPr>
              <w:t>（</w:t>
            </w:r>
            <w:r>
              <w:rPr>
                <w:rFonts w:hint="eastAsia" w:ascii="黑体" w:hAnsi="宋体" w:eastAsia="黑体" w:cs="宋体"/>
                <w:b/>
                <w:sz w:val="21"/>
                <w:szCs w:val="21"/>
                <w:u w:val="none"/>
                <w:lang w:val="en-US" w:eastAsia="zh-CN"/>
              </w:rPr>
              <w:t>%</w:t>
            </w:r>
            <w:r>
              <w:rPr>
                <w:rFonts w:hint="eastAsia" w:ascii="黑体" w:hAnsi="宋体" w:eastAsia="黑体" w:cs="宋体"/>
                <w:b/>
                <w:sz w:val="21"/>
                <w:szCs w:val="21"/>
                <w:u w:val="none"/>
                <w:lang w:eastAsia="zh-CN"/>
              </w:rPr>
              <w:t>）</w:t>
            </w:r>
          </w:p>
        </w:tc>
      </w:tr>
      <w:tr>
        <w:tblPrEx>
          <w:tblCellMar>
            <w:top w:w="0" w:type="dxa"/>
            <w:left w:w="0" w:type="dxa"/>
            <w:bottom w:w="0" w:type="dxa"/>
            <w:right w:w="0" w:type="dxa"/>
          </w:tblCellMar>
        </w:tblPrEx>
        <w:trPr>
          <w:cantSplit/>
          <w:trHeight w:val="340" w:hRule="atLeast"/>
          <w:jc w:val="center"/>
        </w:trPr>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hint="eastAsia" w:ascii="仿宋" w:hAnsi="仿宋" w:eastAsia="仿宋" w:cs="宋体"/>
                <w:sz w:val="21"/>
                <w:szCs w:val="21"/>
                <w:u w:val="none"/>
              </w:rPr>
            </w:pPr>
            <w:r>
              <w:rPr>
                <w:rFonts w:hint="eastAsia" w:ascii="仿宋" w:hAnsi="仿宋" w:eastAsia="仿宋" w:cs="宋体"/>
                <w:sz w:val="21"/>
                <w:szCs w:val="21"/>
                <w:u w:val="none"/>
              </w:rPr>
              <w:t>公共基础课</w:t>
            </w:r>
          </w:p>
        </w:tc>
        <w:tc>
          <w:tcPr>
            <w:tcW w:w="182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仿宋" w:hAnsi="仿宋" w:eastAsia="仿宋" w:cs="宋体"/>
                <w:sz w:val="21"/>
                <w:szCs w:val="21"/>
                <w:u w:val="none"/>
                <w:lang w:val="en-US" w:eastAsia="zh-CN"/>
              </w:rPr>
            </w:pPr>
            <w:r>
              <w:rPr>
                <w:rFonts w:hint="eastAsia" w:ascii="仿宋" w:hAnsi="仿宋" w:eastAsia="仿宋" w:cs="仿宋"/>
                <w:color w:val="000000"/>
                <w:kern w:val="0"/>
                <w:sz w:val="21"/>
                <w:szCs w:val="21"/>
                <w:u w:val="none"/>
                <w:lang w:val="en-US" w:eastAsia="zh-CN" w:bidi="ar"/>
              </w:rPr>
              <w:t>690</w:t>
            </w:r>
            <w:r>
              <w:rPr>
                <w:rFonts w:hint="eastAsia" w:ascii="仿宋" w:hAnsi="仿宋" w:eastAsia="仿宋" w:cs="仿宋"/>
                <w:color w:val="000000"/>
                <w:kern w:val="0"/>
                <w:sz w:val="21"/>
                <w:szCs w:val="21"/>
                <w:u w:val="none"/>
                <w:lang w:bidi="ar"/>
              </w:rPr>
              <w:t>/4</w:t>
            </w:r>
            <w:r>
              <w:rPr>
                <w:rFonts w:hint="eastAsia" w:ascii="仿宋" w:hAnsi="仿宋" w:eastAsia="仿宋" w:cs="仿宋"/>
                <w:color w:val="000000"/>
                <w:kern w:val="0"/>
                <w:sz w:val="21"/>
                <w:szCs w:val="21"/>
                <w:u w:val="none"/>
                <w:lang w:val="en-US" w:eastAsia="zh-CN" w:bidi="ar"/>
              </w:rPr>
              <w:t>18</w:t>
            </w:r>
            <w:r>
              <w:rPr>
                <w:rFonts w:hint="eastAsia" w:ascii="仿宋" w:hAnsi="仿宋" w:eastAsia="仿宋" w:cs="仿宋"/>
                <w:color w:val="000000"/>
                <w:kern w:val="0"/>
                <w:sz w:val="21"/>
                <w:szCs w:val="21"/>
                <w:u w:val="none"/>
                <w:lang w:bidi="ar"/>
              </w:rPr>
              <w:t>/1</w:t>
            </w:r>
            <w:r>
              <w:rPr>
                <w:rFonts w:hint="eastAsia" w:ascii="仿宋" w:hAnsi="仿宋" w:eastAsia="仿宋" w:cs="仿宋"/>
                <w:color w:val="000000"/>
                <w:kern w:val="0"/>
                <w:sz w:val="21"/>
                <w:szCs w:val="21"/>
                <w:u w:val="none"/>
                <w:lang w:val="en-US" w:eastAsia="zh-CN" w:bidi="ar"/>
              </w:rPr>
              <w:t>108</w:t>
            </w:r>
          </w:p>
        </w:tc>
        <w:tc>
          <w:tcPr>
            <w:tcW w:w="540" w:type="dxa"/>
            <w:vMerge w:val="continue"/>
            <w:tcBorders>
              <w:top w:val="single" w:color="auto" w:sz="4" w:space="0"/>
              <w:left w:val="single" w:color="auto" w:sz="4" w:space="0"/>
              <w:right w:val="single" w:color="auto" w:sz="4" w:space="0"/>
            </w:tcBorders>
            <w:noWrap w:val="0"/>
            <w:vAlign w:val="center"/>
          </w:tcPr>
          <w:p>
            <w:pPr>
              <w:ind w:firstLine="420"/>
              <w:jc w:val="center"/>
              <w:rPr>
                <w:rFonts w:hint="eastAsia" w:ascii="仿宋" w:hAnsi="仿宋" w:eastAsia="仿宋" w:cs="宋体"/>
                <w:sz w:val="21"/>
                <w:szCs w:val="21"/>
                <w:u w:val="none"/>
              </w:rPr>
            </w:pPr>
          </w:p>
        </w:tc>
        <w:tc>
          <w:tcPr>
            <w:tcW w:w="860" w:type="dxa"/>
            <w:vMerge w:val="continue"/>
            <w:tcBorders>
              <w:top w:val="single" w:color="auto" w:sz="4" w:space="0"/>
              <w:left w:val="single" w:color="auto" w:sz="4" w:space="0"/>
              <w:right w:val="single" w:color="auto" w:sz="4" w:space="0"/>
            </w:tcBorders>
            <w:noWrap w:val="0"/>
            <w:vAlign w:val="center"/>
          </w:tcPr>
          <w:p>
            <w:pPr>
              <w:ind w:firstLine="420"/>
              <w:jc w:val="center"/>
              <w:rPr>
                <w:rFonts w:hint="eastAsia" w:ascii="仿宋" w:hAnsi="仿宋" w:eastAsia="仿宋" w:cs="宋体"/>
                <w:sz w:val="21"/>
                <w:szCs w:val="21"/>
                <w:u w:val="none"/>
              </w:rPr>
            </w:pPr>
          </w:p>
        </w:tc>
        <w:tc>
          <w:tcPr>
            <w:tcW w:w="903" w:type="dxa"/>
            <w:vMerge w:val="continue"/>
            <w:tcBorders>
              <w:top w:val="single" w:color="auto" w:sz="4" w:space="0"/>
              <w:left w:val="single" w:color="auto" w:sz="4" w:space="0"/>
              <w:right w:val="single" w:color="auto" w:sz="4" w:space="0"/>
            </w:tcBorders>
            <w:noWrap w:val="0"/>
            <w:vAlign w:val="center"/>
          </w:tcPr>
          <w:p>
            <w:pPr>
              <w:ind w:firstLine="420"/>
              <w:jc w:val="center"/>
              <w:rPr>
                <w:rFonts w:hint="eastAsia" w:ascii="仿宋" w:hAnsi="仿宋" w:eastAsia="仿宋" w:cs="宋体"/>
                <w:sz w:val="21"/>
                <w:szCs w:val="21"/>
                <w:u w:val="none"/>
              </w:rPr>
            </w:pPr>
          </w:p>
        </w:tc>
        <w:tc>
          <w:tcPr>
            <w:tcW w:w="1137" w:type="dxa"/>
            <w:vMerge w:val="continue"/>
            <w:tcBorders>
              <w:top w:val="single" w:color="auto" w:sz="4" w:space="0"/>
              <w:left w:val="single" w:color="auto" w:sz="4" w:space="0"/>
              <w:right w:val="single" w:color="auto" w:sz="4" w:space="0"/>
            </w:tcBorders>
            <w:noWrap w:val="0"/>
            <w:vAlign w:val="center"/>
          </w:tcPr>
          <w:p>
            <w:pPr>
              <w:ind w:firstLine="420"/>
              <w:jc w:val="center"/>
              <w:rPr>
                <w:rFonts w:hint="eastAsia" w:ascii="仿宋" w:hAnsi="仿宋" w:eastAsia="仿宋" w:cs="宋体"/>
                <w:sz w:val="21"/>
                <w:szCs w:val="21"/>
                <w:u w:val="none"/>
              </w:rPr>
            </w:pPr>
          </w:p>
        </w:tc>
        <w:tc>
          <w:tcPr>
            <w:tcW w:w="2035" w:type="dxa"/>
            <w:vMerge w:val="continue"/>
            <w:tcBorders>
              <w:top w:val="single" w:color="auto" w:sz="4" w:space="0"/>
              <w:left w:val="single" w:color="auto" w:sz="4" w:space="0"/>
              <w:right w:val="single" w:color="auto" w:sz="4" w:space="0"/>
            </w:tcBorders>
            <w:noWrap w:val="0"/>
            <w:vAlign w:val="center"/>
          </w:tcPr>
          <w:p>
            <w:pPr>
              <w:ind w:firstLine="420"/>
              <w:jc w:val="center"/>
              <w:rPr>
                <w:rFonts w:hint="eastAsia" w:ascii="仿宋" w:hAnsi="仿宋" w:eastAsia="仿宋" w:cs="宋体"/>
                <w:sz w:val="21"/>
                <w:szCs w:val="21"/>
                <w:u w:val="none"/>
              </w:rPr>
            </w:pPr>
          </w:p>
        </w:tc>
      </w:tr>
      <w:tr>
        <w:tblPrEx>
          <w:tblCellMar>
            <w:top w:w="0" w:type="dxa"/>
            <w:left w:w="0" w:type="dxa"/>
            <w:bottom w:w="0" w:type="dxa"/>
            <w:right w:w="0" w:type="dxa"/>
          </w:tblCellMar>
        </w:tblPrEx>
        <w:trPr>
          <w:cantSplit/>
          <w:trHeight w:val="340" w:hRule="atLeast"/>
          <w:jc w:val="center"/>
        </w:trPr>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hint="eastAsia" w:ascii="仿宋" w:hAnsi="仿宋" w:eastAsia="仿宋" w:cs="宋体"/>
                <w:sz w:val="21"/>
                <w:szCs w:val="21"/>
                <w:u w:val="none"/>
              </w:rPr>
            </w:pPr>
            <w:r>
              <w:rPr>
                <w:rFonts w:hint="eastAsia" w:ascii="仿宋" w:hAnsi="仿宋" w:eastAsia="仿宋" w:cs="宋体"/>
                <w:sz w:val="21"/>
                <w:szCs w:val="21"/>
                <w:u w:val="none"/>
              </w:rPr>
              <w:t>专业基础课</w:t>
            </w:r>
          </w:p>
        </w:tc>
        <w:tc>
          <w:tcPr>
            <w:tcW w:w="182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auto"/>
              <w:ind w:firstLine="0" w:firstLineChars="0"/>
              <w:jc w:val="center"/>
              <w:textAlignment w:val="center"/>
              <w:rPr>
                <w:rFonts w:hint="eastAsia" w:ascii="仿宋" w:hAnsi="仿宋" w:eastAsia="仿宋" w:cs="宋体"/>
                <w:sz w:val="21"/>
                <w:szCs w:val="21"/>
                <w:u w:val="none"/>
              </w:rPr>
            </w:pPr>
            <w:r>
              <w:rPr>
                <w:rFonts w:hint="eastAsia" w:ascii="仿宋" w:hAnsi="仿宋" w:eastAsia="仿宋" w:cs="仿宋"/>
                <w:color w:val="000000"/>
                <w:kern w:val="0"/>
                <w:sz w:val="21"/>
                <w:szCs w:val="21"/>
                <w:u w:val="none"/>
                <w:lang w:bidi="ar"/>
              </w:rPr>
              <w:t>294/178/472</w:t>
            </w:r>
          </w:p>
        </w:tc>
        <w:tc>
          <w:tcPr>
            <w:tcW w:w="540"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860"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903"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1137"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2035"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r>
      <w:tr>
        <w:tblPrEx>
          <w:tblCellMar>
            <w:top w:w="0" w:type="dxa"/>
            <w:left w:w="0" w:type="dxa"/>
            <w:bottom w:w="0" w:type="dxa"/>
            <w:right w:w="0" w:type="dxa"/>
          </w:tblCellMar>
        </w:tblPrEx>
        <w:trPr>
          <w:cantSplit/>
          <w:trHeight w:val="418" w:hRule="atLeast"/>
          <w:jc w:val="center"/>
        </w:trPr>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hint="eastAsia" w:ascii="仿宋" w:hAnsi="仿宋" w:eastAsia="仿宋" w:cs="宋体"/>
                <w:sz w:val="21"/>
                <w:szCs w:val="21"/>
                <w:u w:val="none"/>
              </w:rPr>
            </w:pPr>
            <w:r>
              <w:rPr>
                <w:rFonts w:hint="eastAsia" w:ascii="仿宋" w:hAnsi="仿宋" w:eastAsia="仿宋" w:cs="宋体"/>
                <w:sz w:val="21"/>
                <w:szCs w:val="21"/>
                <w:u w:val="none"/>
              </w:rPr>
              <w:t>专业核心课</w:t>
            </w:r>
          </w:p>
        </w:tc>
        <w:tc>
          <w:tcPr>
            <w:tcW w:w="182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auto"/>
              <w:ind w:firstLine="0" w:firstLineChars="0"/>
              <w:jc w:val="center"/>
              <w:textAlignment w:val="center"/>
              <w:rPr>
                <w:rFonts w:hint="eastAsia" w:ascii="仿宋" w:hAnsi="仿宋" w:eastAsia="仿宋" w:cs="宋体"/>
                <w:sz w:val="21"/>
                <w:szCs w:val="21"/>
                <w:u w:val="none"/>
              </w:rPr>
            </w:pPr>
            <w:r>
              <w:rPr>
                <w:rFonts w:hint="eastAsia" w:ascii="仿宋" w:hAnsi="仿宋" w:eastAsia="仿宋" w:cs="仿宋"/>
                <w:color w:val="000000"/>
                <w:kern w:val="0"/>
                <w:sz w:val="21"/>
                <w:szCs w:val="21"/>
                <w:u w:val="none"/>
                <w:lang w:bidi="ar"/>
              </w:rPr>
              <w:t>266/166/432</w:t>
            </w:r>
          </w:p>
        </w:tc>
        <w:tc>
          <w:tcPr>
            <w:tcW w:w="540"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860"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903"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1137"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2035" w:type="dxa"/>
            <w:vMerge w:val="continue"/>
            <w:tcBorders>
              <w:left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r>
      <w:tr>
        <w:tblPrEx>
          <w:tblCellMar>
            <w:top w:w="0" w:type="dxa"/>
            <w:left w:w="0" w:type="dxa"/>
            <w:bottom w:w="0" w:type="dxa"/>
            <w:right w:w="0" w:type="dxa"/>
          </w:tblCellMar>
        </w:tblPrEx>
        <w:trPr>
          <w:cantSplit/>
          <w:trHeight w:val="434" w:hRule="atLeast"/>
          <w:jc w:val="center"/>
        </w:trPr>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hint="eastAsia" w:ascii="仿宋" w:hAnsi="仿宋" w:eastAsia="仿宋" w:cs="宋体"/>
                <w:sz w:val="21"/>
                <w:szCs w:val="21"/>
                <w:u w:val="none"/>
              </w:rPr>
            </w:pPr>
            <w:r>
              <w:rPr>
                <w:rFonts w:hint="eastAsia" w:ascii="仿宋" w:hAnsi="仿宋" w:eastAsia="仿宋" w:cs="宋体"/>
                <w:sz w:val="21"/>
                <w:szCs w:val="21"/>
                <w:u w:val="none"/>
              </w:rPr>
              <w:t>专业拓展(实践)课</w:t>
            </w:r>
          </w:p>
        </w:tc>
        <w:tc>
          <w:tcPr>
            <w:tcW w:w="182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仿宋" w:hAnsi="仿宋" w:eastAsia="仿宋" w:cs="宋体"/>
                <w:sz w:val="21"/>
                <w:szCs w:val="21"/>
                <w:u w:val="none"/>
                <w:lang w:val="en-US" w:eastAsia="zh-CN"/>
              </w:rPr>
            </w:pPr>
            <w:r>
              <w:rPr>
                <w:rFonts w:hint="eastAsia" w:ascii="仿宋" w:hAnsi="仿宋" w:eastAsia="仿宋" w:cs="仿宋"/>
                <w:color w:val="000000"/>
                <w:kern w:val="0"/>
                <w:sz w:val="21"/>
                <w:szCs w:val="21"/>
                <w:u w:val="none"/>
                <w:lang w:bidi="ar"/>
              </w:rPr>
              <w:t>142/</w:t>
            </w:r>
            <w:r>
              <w:rPr>
                <w:rFonts w:hint="eastAsia" w:ascii="仿宋" w:hAnsi="仿宋" w:eastAsia="仿宋" w:cs="仿宋"/>
                <w:color w:val="000000"/>
                <w:kern w:val="0"/>
                <w:sz w:val="21"/>
                <w:szCs w:val="21"/>
                <w:u w:val="none"/>
                <w:lang w:val="en-US" w:eastAsia="zh-CN" w:bidi="ar"/>
              </w:rPr>
              <w:t>722</w:t>
            </w:r>
            <w:r>
              <w:rPr>
                <w:rFonts w:hint="eastAsia" w:ascii="仿宋" w:hAnsi="仿宋" w:eastAsia="仿宋" w:cs="仿宋"/>
                <w:color w:val="000000"/>
                <w:kern w:val="0"/>
                <w:sz w:val="21"/>
                <w:szCs w:val="21"/>
                <w:u w:val="none"/>
                <w:lang w:bidi="ar"/>
              </w:rPr>
              <w:t>/</w:t>
            </w:r>
            <w:r>
              <w:rPr>
                <w:rFonts w:hint="eastAsia" w:ascii="仿宋" w:hAnsi="仿宋" w:eastAsia="仿宋" w:cs="仿宋"/>
                <w:color w:val="000000"/>
                <w:kern w:val="0"/>
                <w:sz w:val="21"/>
                <w:szCs w:val="21"/>
                <w:u w:val="none"/>
                <w:lang w:val="en-US" w:eastAsia="zh-CN" w:bidi="ar"/>
              </w:rPr>
              <w:t>864</w:t>
            </w:r>
          </w:p>
        </w:tc>
        <w:tc>
          <w:tcPr>
            <w:tcW w:w="540"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860"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903"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1137"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c>
          <w:tcPr>
            <w:tcW w:w="2035"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宋体"/>
                <w:sz w:val="21"/>
                <w:szCs w:val="21"/>
                <w:u w:val="none"/>
              </w:rPr>
            </w:pPr>
          </w:p>
        </w:tc>
      </w:tr>
      <w:tr>
        <w:tblPrEx>
          <w:tblCellMar>
            <w:top w:w="0" w:type="dxa"/>
            <w:left w:w="0" w:type="dxa"/>
            <w:bottom w:w="0" w:type="dxa"/>
            <w:right w:w="0" w:type="dxa"/>
          </w:tblCellMar>
        </w:tblPrEx>
        <w:trPr>
          <w:cantSplit/>
          <w:trHeight w:val="476" w:hRule="atLeast"/>
          <w:jc w:val="center"/>
        </w:trPr>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hint="eastAsia" w:ascii="仿宋" w:hAnsi="仿宋" w:eastAsia="仿宋" w:cs="宋体"/>
                <w:sz w:val="21"/>
                <w:szCs w:val="21"/>
                <w:u w:val="none"/>
              </w:rPr>
            </w:pPr>
          </w:p>
        </w:tc>
        <w:tc>
          <w:tcPr>
            <w:tcW w:w="182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仿宋" w:hAnsi="仿宋" w:eastAsia="仿宋" w:cs="宋体"/>
                <w:sz w:val="21"/>
                <w:szCs w:val="21"/>
                <w:u w:val="none"/>
                <w:lang w:val="en-US" w:eastAsia="zh-CN"/>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仿宋" w:hAnsi="仿宋" w:eastAsia="仿宋" w:cs="仿宋"/>
                <w:sz w:val="21"/>
                <w:szCs w:val="21"/>
                <w:u w:val="none"/>
                <w:lang w:val="en-US"/>
              </w:rPr>
            </w:pPr>
            <w:r>
              <w:rPr>
                <w:rFonts w:hint="eastAsia" w:ascii="仿宋" w:hAnsi="仿宋" w:eastAsia="仿宋" w:cs="仿宋"/>
                <w:color w:val="000000"/>
                <w:kern w:val="0"/>
                <w:sz w:val="21"/>
                <w:szCs w:val="21"/>
                <w:u w:val="none"/>
                <w:lang w:val="en-US" w:eastAsia="zh-CN" w:bidi="ar"/>
              </w:rPr>
              <w:t>2876</w:t>
            </w:r>
          </w:p>
        </w:tc>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仿宋" w:hAnsi="仿宋" w:eastAsia="仿宋" w:cs="仿宋"/>
                <w:sz w:val="21"/>
                <w:szCs w:val="21"/>
                <w:u w:val="none"/>
                <w:lang w:val="en-US" w:eastAsia="zh-CN"/>
              </w:rPr>
            </w:pPr>
            <w:r>
              <w:rPr>
                <w:rFonts w:hint="eastAsia" w:ascii="仿宋" w:hAnsi="仿宋" w:eastAsia="仿宋" w:cs="仿宋"/>
                <w:color w:val="000000"/>
                <w:kern w:val="0"/>
                <w:sz w:val="21"/>
                <w:szCs w:val="21"/>
                <w:u w:val="none"/>
                <w:lang w:val="en-US" w:eastAsia="zh-CN" w:bidi="ar"/>
              </w:rPr>
              <w:t>1392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仿宋" w:hAnsi="仿宋" w:eastAsia="仿宋" w:cs="仿宋"/>
                <w:sz w:val="21"/>
                <w:szCs w:val="21"/>
                <w:u w:val="none"/>
                <w:lang w:val="en-US" w:eastAsia="zh-CN"/>
              </w:rPr>
            </w:pPr>
            <w:r>
              <w:rPr>
                <w:rFonts w:hint="eastAsia" w:ascii="仿宋" w:hAnsi="仿宋" w:eastAsia="仿宋" w:cs="仿宋"/>
                <w:color w:val="000000"/>
                <w:kern w:val="0"/>
                <w:sz w:val="21"/>
                <w:szCs w:val="21"/>
                <w:u w:val="none"/>
                <w:lang w:val="en-US" w:eastAsia="zh-CN" w:bidi="ar"/>
              </w:rPr>
              <w:t>1484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仿宋" w:hAnsi="仿宋" w:eastAsia="仿宋" w:cs="仿宋"/>
                <w:sz w:val="21"/>
                <w:szCs w:val="21"/>
                <w:u w:val="none"/>
                <w:lang w:val="en-US" w:eastAsia="zh-CN"/>
              </w:rPr>
            </w:pPr>
            <w:r>
              <w:rPr>
                <w:rFonts w:hint="eastAsia" w:ascii="仿宋" w:hAnsi="仿宋" w:eastAsia="仿宋" w:cs="仿宋"/>
                <w:color w:val="000000"/>
                <w:kern w:val="0"/>
                <w:sz w:val="21"/>
                <w:szCs w:val="21"/>
                <w:u w:val="none"/>
                <w:lang w:val="en-US" w:eastAsia="zh-CN" w:bidi="ar"/>
              </w:rPr>
              <w:t>2876</w:t>
            </w: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仿宋" w:hAnsi="仿宋" w:eastAsia="仿宋" w:cs="仿宋"/>
                <w:color w:val="000000"/>
                <w:sz w:val="21"/>
                <w:szCs w:val="21"/>
                <w:u w:val="none"/>
                <w:lang w:val="en-US" w:eastAsia="zh-CN"/>
              </w:rPr>
            </w:pPr>
            <w:r>
              <w:rPr>
                <w:rFonts w:hint="eastAsia" w:ascii="仿宋" w:hAnsi="仿宋" w:eastAsia="仿宋" w:cs="仿宋"/>
                <w:color w:val="000000"/>
                <w:sz w:val="21"/>
                <w:szCs w:val="21"/>
                <w:u w:val="none"/>
                <w:lang w:val="en-US" w:eastAsia="zh-CN"/>
              </w:rPr>
              <w:t>48.40</w:t>
            </w:r>
            <w:r>
              <w:rPr>
                <w:rFonts w:hint="eastAsia" w:ascii="仿宋" w:hAnsi="仿宋" w:eastAsia="仿宋" w:cs="仿宋"/>
                <w:color w:val="000000"/>
                <w:sz w:val="21"/>
                <w:szCs w:val="21"/>
                <w:u w:val="none"/>
              </w:rPr>
              <w:t>：5</w:t>
            </w:r>
            <w:r>
              <w:rPr>
                <w:rFonts w:hint="eastAsia" w:ascii="仿宋" w:hAnsi="仿宋" w:eastAsia="仿宋" w:cs="仿宋"/>
                <w:color w:val="000000"/>
                <w:sz w:val="21"/>
                <w:szCs w:val="21"/>
                <w:u w:val="none"/>
                <w:lang w:val="en-US" w:eastAsia="zh-CN"/>
              </w:rPr>
              <w:t>1.60</w:t>
            </w:r>
          </w:p>
        </w:tc>
      </w:tr>
    </w:tbl>
    <w:p>
      <w:pPr>
        <w:pStyle w:val="4"/>
        <w:numPr>
          <w:ilvl w:val="0"/>
          <w:numId w:val="0"/>
        </w:numPr>
        <w:ind w:left="482" w:leftChars="0"/>
        <w:rPr>
          <w:rFonts w:hint="eastAsia" w:ascii="Arial" w:hAnsi="Arial" w:cs="Times New Roman"/>
          <w:u w:val="none"/>
          <w:lang w:eastAsia="zh-CN"/>
        </w:rPr>
      </w:pPr>
      <w:r>
        <w:rPr>
          <w:rFonts w:hint="eastAsia"/>
          <w:u w:val="none"/>
          <w:lang w:eastAsia="zh-CN"/>
        </w:rPr>
        <w:t>（四</w:t>
      </w:r>
      <w:r>
        <w:rPr>
          <w:rFonts w:hint="eastAsia"/>
          <w:u w:val="none"/>
          <w:lang w:val="en-US" w:eastAsia="zh-CN"/>
        </w:rPr>
        <w:t>）</w:t>
      </w:r>
      <w:r>
        <w:rPr>
          <w:rFonts w:hint="eastAsia" w:ascii="Arial" w:hAnsi="Arial" w:cs="Times New Roman"/>
          <w:u w:val="none"/>
          <w:lang w:eastAsia="zh-CN"/>
        </w:rPr>
        <w:t>考核方式</w:t>
      </w:r>
      <w:bookmarkEnd w:id="180"/>
      <w:bookmarkEnd w:id="181"/>
    </w:p>
    <w:p>
      <w:pPr>
        <w:pStyle w:val="57"/>
        <w:ind w:firstLine="357" w:firstLineChars="0"/>
        <w:rPr>
          <w:sz w:val="24"/>
          <w:szCs w:val="24"/>
          <w:u w:val="none"/>
        </w:rPr>
      </w:pPr>
      <w:r>
        <w:rPr>
          <w:sz w:val="24"/>
          <w:szCs w:val="24"/>
          <w:u w:val="none"/>
        </w:rPr>
        <w:t>1.</w:t>
      </w:r>
      <w:r>
        <w:rPr>
          <w:rFonts w:hint="eastAsia"/>
          <w:sz w:val="24"/>
          <w:szCs w:val="24"/>
          <w:u w:val="none"/>
        </w:rPr>
        <w:t>考核可以根据不同课程的特点和要求采取笔试、口试、实操、作品展示、成果汇报等多种方式进行考核；</w:t>
      </w:r>
    </w:p>
    <w:p>
      <w:pPr>
        <w:pStyle w:val="57"/>
        <w:ind w:firstLine="357" w:firstLineChars="0"/>
        <w:rPr>
          <w:sz w:val="24"/>
          <w:szCs w:val="24"/>
          <w:u w:val="none"/>
        </w:rPr>
      </w:pPr>
      <w:r>
        <w:rPr>
          <w:sz w:val="24"/>
          <w:szCs w:val="24"/>
          <w:u w:val="none"/>
        </w:rPr>
        <w:t>2.</w:t>
      </w:r>
      <w:r>
        <w:rPr>
          <w:rFonts w:hint="eastAsia"/>
          <w:sz w:val="24"/>
          <w:szCs w:val="24"/>
          <w:u w:val="none"/>
        </w:rPr>
        <w:t>考核要以能力考核为核心，综合考核专业知识、专业技能、方法能力、职业素质、团队合作等方面；</w:t>
      </w:r>
    </w:p>
    <w:p>
      <w:pPr>
        <w:pStyle w:val="57"/>
        <w:ind w:firstLine="357" w:firstLineChars="0"/>
        <w:rPr>
          <w:rFonts w:hint="eastAsia"/>
          <w:sz w:val="24"/>
          <w:szCs w:val="24"/>
          <w:u w:val="none"/>
        </w:rPr>
      </w:pPr>
      <w:r>
        <w:rPr>
          <w:sz w:val="24"/>
          <w:szCs w:val="24"/>
          <w:u w:val="none"/>
        </w:rPr>
        <w:t>3.</w:t>
      </w:r>
      <w:r>
        <w:rPr>
          <w:rFonts w:hint="eastAsia"/>
          <w:sz w:val="24"/>
          <w:szCs w:val="24"/>
          <w:u w:val="none"/>
        </w:rPr>
        <w:t>根据学生工作、学习的实际情况，可由任课教师申请、经系部、教务处等部门同意之后选择非闭卷考试形式进行考核。</w:t>
      </w:r>
    </w:p>
    <w:p>
      <w:pPr>
        <w:pStyle w:val="4"/>
        <w:numPr>
          <w:ilvl w:val="0"/>
          <w:numId w:val="0"/>
        </w:numPr>
        <w:ind w:left="482" w:leftChars="0"/>
        <w:rPr>
          <w:rFonts w:hint="eastAsia" w:ascii="Arial" w:hAnsi="Arial" w:cs="Times New Roman"/>
          <w:u w:val="none"/>
          <w:lang w:eastAsia="zh-CN"/>
        </w:rPr>
      </w:pPr>
      <w:bookmarkStart w:id="182" w:name="_Toc27185"/>
      <w:bookmarkStart w:id="183" w:name="_Toc76997947"/>
      <w:bookmarkStart w:id="184" w:name="_Toc17242"/>
      <w:r>
        <w:rPr>
          <w:rFonts w:hint="eastAsia"/>
          <w:u w:val="none"/>
          <w:lang w:eastAsia="zh-CN"/>
        </w:rPr>
        <w:t>（</w:t>
      </w:r>
      <w:r>
        <w:rPr>
          <w:rFonts w:hint="eastAsia"/>
          <w:u w:val="none"/>
          <w:lang w:val="en-US" w:eastAsia="zh-CN"/>
        </w:rPr>
        <w:t>五）</w:t>
      </w:r>
      <w:r>
        <w:rPr>
          <w:rFonts w:hint="eastAsia" w:ascii="Arial" w:hAnsi="Arial" w:cs="Times New Roman"/>
          <w:u w:val="none"/>
          <w:lang w:eastAsia="zh-CN"/>
        </w:rPr>
        <w:t>认识实习、</w:t>
      </w:r>
      <w:r>
        <w:rPr>
          <w:rFonts w:hint="eastAsia" w:ascii="Arial" w:hAnsi="Arial" w:cs="Times New Roman"/>
          <w:u w:val="none"/>
          <w:lang w:val="en-US" w:eastAsia="zh-CN"/>
        </w:rPr>
        <w:t>项目实训、</w:t>
      </w:r>
      <w:r>
        <w:rPr>
          <w:rFonts w:hint="eastAsia" w:ascii="Arial" w:hAnsi="Arial" w:cs="Times New Roman"/>
          <w:u w:val="none"/>
          <w:lang w:eastAsia="zh-CN"/>
        </w:rPr>
        <w:t>岗位实习</w:t>
      </w:r>
      <w:bookmarkEnd w:id="182"/>
      <w:bookmarkEnd w:id="183"/>
      <w:bookmarkEnd w:id="184"/>
    </w:p>
    <w:p>
      <w:pPr>
        <w:ind w:left="480" w:firstLine="0" w:firstLineChars="0"/>
        <w:outlineLvl w:val="2"/>
        <w:rPr>
          <w:rFonts w:hint="eastAsia" w:ascii="楷体" w:hAnsi="楷体" w:eastAsia="楷体" w:cs="楷体"/>
          <w:b/>
          <w:bCs/>
          <w:szCs w:val="24"/>
          <w:u w:val="none"/>
        </w:rPr>
      </w:pPr>
      <w:bookmarkStart w:id="185" w:name="_Toc9135"/>
      <w:bookmarkStart w:id="186" w:name="_Toc77759111"/>
      <w:r>
        <w:rPr>
          <w:rFonts w:hint="eastAsia" w:ascii="楷体" w:hAnsi="楷体" w:eastAsia="楷体" w:cs="楷体"/>
          <w:b/>
          <w:bCs/>
          <w:szCs w:val="24"/>
          <w:u w:val="none"/>
        </w:rPr>
        <w:t>1</w:t>
      </w:r>
      <w:r>
        <w:rPr>
          <w:rFonts w:ascii="楷体" w:hAnsi="楷体" w:eastAsia="楷体" w:cs="楷体"/>
          <w:b/>
          <w:bCs/>
          <w:szCs w:val="24"/>
          <w:u w:val="none"/>
        </w:rPr>
        <w:t>.</w:t>
      </w:r>
      <w:r>
        <w:rPr>
          <w:rFonts w:hint="eastAsia" w:ascii="楷体" w:hAnsi="楷体" w:eastAsia="楷体" w:cs="楷体"/>
          <w:b/>
          <w:bCs/>
          <w:szCs w:val="24"/>
          <w:u w:val="none"/>
        </w:rPr>
        <w:t>认识实习</w:t>
      </w:r>
      <w:bookmarkEnd w:id="185"/>
      <w:bookmarkEnd w:id="186"/>
    </w:p>
    <w:p>
      <w:pPr>
        <w:ind w:firstLine="480"/>
        <w:rPr>
          <w:rFonts w:hint="eastAsia"/>
          <w:u w:val="none"/>
        </w:rPr>
      </w:pPr>
      <w:bookmarkStart w:id="187" w:name="_Toc31200"/>
      <w:r>
        <w:rPr>
          <w:u w:val="none"/>
        </w:rPr>
        <w:t>认识实习是教学中一个很重要的组成部分，它是针对所学专业进行的调研实习活动，通过</w:t>
      </w:r>
      <w:r>
        <w:rPr>
          <w:rFonts w:hint="eastAsia"/>
          <w:u w:val="none"/>
        </w:rPr>
        <w:t>物业管理</w:t>
      </w:r>
      <w:r>
        <w:rPr>
          <w:u w:val="none"/>
        </w:rPr>
        <w:t>现场参观，</w:t>
      </w:r>
      <w:r>
        <w:rPr>
          <w:rFonts w:hint="eastAsia"/>
          <w:u w:val="none"/>
        </w:rPr>
        <w:t>相关工作岗位的现场观摩，</w:t>
      </w:r>
      <w:r>
        <w:rPr>
          <w:u w:val="none"/>
        </w:rPr>
        <w:t>提高学生的感性认识，加深对课堂所学内容的理解，把课堂的理论知识和工程实践相结合。</w:t>
      </w:r>
    </w:p>
    <w:bookmarkEnd w:id="187"/>
    <w:p>
      <w:pPr>
        <w:ind w:left="480" w:firstLine="0" w:firstLineChars="0"/>
        <w:outlineLvl w:val="2"/>
        <w:rPr>
          <w:rFonts w:hint="eastAsia" w:ascii="楷体" w:hAnsi="楷体" w:eastAsia="楷体" w:cs="楷体"/>
          <w:b/>
          <w:bCs/>
          <w:szCs w:val="24"/>
          <w:u w:val="none"/>
        </w:rPr>
      </w:pPr>
      <w:bookmarkStart w:id="188" w:name="_Toc77759112"/>
      <w:bookmarkStart w:id="189" w:name="_Toc16238"/>
      <w:r>
        <w:rPr>
          <w:rFonts w:hint="eastAsia" w:ascii="楷体" w:hAnsi="楷体" w:eastAsia="楷体" w:cs="楷体"/>
          <w:b/>
          <w:bCs/>
          <w:szCs w:val="24"/>
          <w:u w:val="none"/>
        </w:rPr>
        <w:t>2.项目实训</w:t>
      </w:r>
      <w:bookmarkEnd w:id="188"/>
    </w:p>
    <w:p>
      <w:pPr>
        <w:pStyle w:val="41"/>
        <w:ind w:firstLine="480"/>
        <w:rPr>
          <w:u w:val="none"/>
        </w:rPr>
      </w:pPr>
      <w:r>
        <w:rPr>
          <w:u w:val="none"/>
        </w:rPr>
        <w:t>（1）</w:t>
      </w:r>
      <w:r>
        <w:rPr>
          <w:rFonts w:hint="eastAsia"/>
          <w:u w:val="none"/>
        </w:rPr>
        <w:t>物业管理</w:t>
      </w:r>
      <w:r>
        <w:rPr>
          <w:u w:val="none"/>
        </w:rPr>
        <w:t>项目决策咨询模拟实训，掌握</w:t>
      </w:r>
      <w:r>
        <w:rPr>
          <w:rFonts w:hint="eastAsia"/>
          <w:u w:val="none"/>
        </w:rPr>
        <w:t>物业管理</w:t>
      </w:r>
      <w:r>
        <w:rPr>
          <w:u w:val="none"/>
        </w:rPr>
        <w:t>的基本理论和建设项目开发程序及相关法规；</w:t>
      </w:r>
    </w:p>
    <w:p>
      <w:pPr>
        <w:pStyle w:val="41"/>
        <w:ind w:firstLine="480"/>
        <w:rPr>
          <w:u w:val="none"/>
        </w:rPr>
      </w:pPr>
      <w:r>
        <w:rPr>
          <w:u w:val="none"/>
        </w:rPr>
        <w:t>（2）</w:t>
      </w:r>
      <w:r>
        <w:rPr>
          <w:rFonts w:hint="eastAsia"/>
          <w:u w:val="none"/>
        </w:rPr>
        <w:t>物业管理投标</w:t>
      </w:r>
      <w:r>
        <w:rPr>
          <w:u w:val="none"/>
        </w:rPr>
        <w:t>模拟实训，掌握</w:t>
      </w:r>
      <w:r>
        <w:rPr>
          <w:rFonts w:hint="eastAsia"/>
          <w:u w:val="none"/>
        </w:rPr>
        <w:t>前期物业管理</w:t>
      </w:r>
      <w:r>
        <w:rPr>
          <w:u w:val="none"/>
        </w:rPr>
        <w:t>阶段项目管理基本</w:t>
      </w:r>
      <w:r>
        <w:rPr>
          <w:rFonts w:hint="eastAsia"/>
          <w:u w:val="none"/>
        </w:rPr>
        <w:t>技能</w:t>
      </w:r>
      <w:r>
        <w:rPr>
          <w:u w:val="none"/>
        </w:rPr>
        <w:t>；</w:t>
      </w:r>
    </w:p>
    <w:p>
      <w:pPr>
        <w:pStyle w:val="41"/>
        <w:ind w:firstLine="480"/>
        <w:rPr>
          <w:u w:val="none"/>
        </w:rPr>
      </w:pPr>
      <w:r>
        <w:rPr>
          <w:u w:val="none"/>
        </w:rPr>
        <w:t>（3）</w:t>
      </w:r>
      <w:r>
        <w:rPr>
          <w:rFonts w:hint="eastAsia"/>
          <w:u w:val="none"/>
        </w:rPr>
        <w:t>思源物业</w:t>
      </w:r>
      <w:r>
        <w:rPr>
          <w:u w:val="none"/>
        </w:rPr>
        <w:t>管理</w:t>
      </w:r>
      <w:r>
        <w:rPr>
          <w:rFonts w:hint="eastAsia"/>
          <w:u w:val="none"/>
        </w:rPr>
        <w:t>软件</w:t>
      </w:r>
      <w:r>
        <w:rPr>
          <w:u w:val="none"/>
        </w:rPr>
        <w:t>模拟实训，通过</w:t>
      </w:r>
      <w:r>
        <w:rPr>
          <w:rFonts w:hint="eastAsia"/>
          <w:u w:val="none"/>
        </w:rPr>
        <w:t>信息录入</w:t>
      </w:r>
      <w:r>
        <w:rPr>
          <w:u w:val="none"/>
        </w:rPr>
        <w:t>，掌握</w:t>
      </w:r>
      <w:r>
        <w:rPr>
          <w:rFonts w:hint="eastAsia"/>
          <w:u w:val="none"/>
        </w:rPr>
        <w:t>物业项目管理技能</w:t>
      </w:r>
      <w:r>
        <w:rPr>
          <w:u w:val="none"/>
        </w:rPr>
        <w:t>；</w:t>
      </w:r>
    </w:p>
    <w:p>
      <w:pPr>
        <w:pStyle w:val="41"/>
        <w:ind w:firstLine="480"/>
        <w:rPr>
          <w:u w:val="none"/>
        </w:rPr>
      </w:pPr>
      <w:r>
        <w:rPr>
          <w:u w:val="none"/>
        </w:rPr>
        <w:t>（4）</w:t>
      </w:r>
      <w:r>
        <w:rPr>
          <w:rFonts w:hint="eastAsia"/>
          <w:u w:val="none"/>
        </w:rPr>
        <w:t>物业</w:t>
      </w:r>
      <w:r>
        <w:rPr>
          <w:u w:val="none"/>
        </w:rPr>
        <w:t>管理</w:t>
      </w:r>
      <w:r>
        <w:rPr>
          <w:rFonts w:hint="eastAsia"/>
          <w:u w:val="none"/>
        </w:rPr>
        <w:t>礼仪</w:t>
      </w:r>
      <w:r>
        <w:rPr>
          <w:u w:val="none"/>
        </w:rPr>
        <w:t>模拟实训，通过</w:t>
      </w:r>
      <w:r>
        <w:rPr>
          <w:rFonts w:hint="eastAsia"/>
          <w:u w:val="none"/>
        </w:rPr>
        <w:t>礼仪视频展示、模拟会务、电话客服等实战课程，掌握物业服务</w:t>
      </w:r>
      <w:r>
        <w:rPr>
          <w:u w:val="none"/>
        </w:rPr>
        <w:t>基本</w:t>
      </w:r>
      <w:r>
        <w:rPr>
          <w:rFonts w:hint="eastAsia"/>
          <w:u w:val="none"/>
        </w:rPr>
        <w:t>技能。</w:t>
      </w:r>
    </w:p>
    <w:p>
      <w:pPr>
        <w:ind w:left="480" w:firstLine="0" w:firstLineChars="0"/>
        <w:outlineLvl w:val="2"/>
        <w:rPr>
          <w:rFonts w:ascii="楷体" w:hAnsi="楷体" w:eastAsia="楷体" w:cs="楷体"/>
          <w:b/>
          <w:bCs/>
          <w:szCs w:val="24"/>
          <w:u w:val="none"/>
        </w:rPr>
      </w:pPr>
      <w:bookmarkStart w:id="190" w:name="_Toc77759113"/>
      <w:r>
        <w:rPr>
          <w:rFonts w:hint="eastAsia" w:ascii="楷体" w:hAnsi="楷体" w:eastAsia="楷体" w:cs="楷体"/>
          <w:b/>
          <w:bCs/>
          <w:szCs w:val="24"/>
          <w:u w:val="none"/>
        </w:rPr>
        <w:t>3</w:t>
      </w:r>
      <w:r>
        <w:rPr>
          <w:rFonts w:ascii="楷体" w:hAnsi="楷体" w:eastAsia="楷体" w:cs="楷体"/>
          <w:b/>
          <w:bCs/>
          <w:szCs w:val="24"/>
          <w:u w:val="none"/>
        </w:rPr>
        <w:t>.</w:t>
      </w:r>
      <w:r>
        <w:rPr>
          <w:rFonts w:hint="eastAsia" w:ascii="楷体" w:hAnsi="楷体" w:eastAsia="楷体" w:cs="楷体"/>
          <w:b/>
          <w:bCs/>
          <w:szCs w:val="24"/>
          <w:u w:val="none"/>
          <w:lang w:eastAsia="zh-CN"/>
        </w:rPr>
        <w:t>岗位</w:t>
      </w:r>
      <w:r>
        <w:rPr>
          <w:rFonts w:hint="eastAsia" w:ascii="楷体" w:hAnsi="楷体" w:eastAsia="楷体" w:cs="楷体"/>
          <w:b/>
          <w:bCs/>
          <w:szCs w:val="24"/>
          <w:u w:val="none"/>
        </w:rPr>
        <w:t>实习</w:t>
      </w:r>
      <w:bookmarkEnd w:id="189"/>
      <w:bookmarkEnd w:id="190"/>
    </w:p>
    <w:p>
      <w:pPr>
        <w:ind w:firstLine="480"/>
        <w:rPr>
          <w:rFonts w:hint="eastAsia" w:ascii="宋体" w:hAnsi="宋体"/>
          <w:szCs w:val="24"/>
          <w:u w:val="none"/>
        </w:rPr>
      </w:pPr>
      <w:r>
        <w:rPr>
          <w:rFonts w:hint="eastAsia" w:ascii="宋体" w:hAnsi="宋体"/>
          <w:szCs w:val="24"/>
          <w:u w:val="none"/>
        </w:rPr>
        <w:t>本专业学生</w:t>
      </w:r>
      <w:r>
        <w:rPr>
          <w:rFonts w:hint="eastAsia" w:ascii="宋体" w:hAnsi="宋体"/>
          <w:szCs w:val="24"/>
          <w:u w:val="none"/>
          <w:lang w:eastAsia="zh-CN"/>
        </w:rPr>
        <w:t>岗位</w:t>
      </w:r>
      <w:r>
        <w:rPr>
          <w:rFonts w:hint="eastAsia" w:ascii="宋体" w:hAnsi="宋体"/>
          <w:szCs w:val="24"/>
          <w:u w:val="none"/>
        </w:rPr>
        <w:t>实习安排在第六学期，时间原则上不超过6个月。学生</w:t>
      </w:r>
      <w:r>
        <w:rPr>
          <w:rFonts w:hint="eastAsia" w:ascii="宋体" w:hAnsi="宋体"/>
          <w:szCs w:val="24"/>
          <w:u w:val="none"/>
          <w:lang w:eastAsia="zh-CN"/>
        </w:rPr>
        <w:t>岗位</w:t>
      </w:r>
      <w:r>
        <w:rPr>
          <w:rFonts w:hint="eastAsia" w:ascii="宋体" w:hAnsi="宋体"/>
          <w:szCs w:val="24"/>
          <w:u w:val="none"/>
        </w:rPr>
        <w:t>实习是全面贯彻党教育方针，遵循学生成长规律和职业能力形成规律，培养学生的职业道德、职业技能，促进学生全面发展，提高教育教学质量的重要环节。</w:t>
      </w:r>
    </w:p>
    <w:p>
      <w:pPr>
        <w:ind w:firstLine="480"/>
        <w:rPr>
          <w:rFonts w:hint="eastAsia" w:ascii="宋体" w:hAnsi="宋体"/>
          <w:szCs w:val="24"/>
          <w:u w:val="none"/>
        </w:rPr>
      </w:pPr>
      <w:r>
        <w:rPr>
          <w:rFonts w:hint="eastAsia" w:ascii="宋体" w:hAnsi="宋体"/>
          <w:szCs w:val="24"/>
          <w:u w:val="none"/>
        </w:rPr>
        <w:t>现代物业管理专业的</w:t>
      </w:r>
      <w:r>
        <w:rPr>
          <w:rFonts w:hint="eastAsia" w:ascii="宋体" w:hAnsi="宋体"/>
          <w:szCs w:val="24"/>
          <w:u w:val="none"/>
          <w:lang w:eastAsia="zh-CN"/>
        </w:rPr>
        <w:t>岗位</w:t>
      </w:r>
      <w:r>
        <w:rPr>
          <w:rFonts w:hint="eastAsia" w:ascii="宋体" w:hAnsi="宋体"/>
          <w:szCs w:val="24"/>
          <w:u w:val="none"/>
        </w:rPr>
        <w:t>实习是对学生的综合训练，以培养学生独立收集资料，综合运用所学理论知识和技能解决实际问题的能力。</w:t>
      </w:r>
      <w:r>
        <w:rPr>
          <w:rFonts w:hint="eastAsia" w:ascii="宋体" w:hAnsi="宋体"/>
          <w:szCs w:val="24"/>
          <w:u w:val="none"/>
          <w:lang w:eastAsia="zh-CN"/>
        </w:rPr>
        <w:t>岗位</w:t>
      </w:r>
      <w:r>
        <w:rPr>
          <w:rFonts w:hint="eastAsia" w:ascii="宋体" w:hAnsi="宋体"/>
          <w:szCs w:val="24"/>
          <w:u w:val="none"/>
        </w:rPr>
        <w:t>实习与毕业设计选题涉及</w:t>
      </w:r>
      <w:r>
        <w:rPr>
          <w:rFonts w:hint="eastAsia"/>
          <w:u w:val="none"/>
        </w:rPr>
        <w:t>物业管理各个工作环节</w:t>
      </w:r>
      <w:r>
        <w:rPr>
          <w:u w:val="none"/>
        </w:rPr>
        <w:t>、</w:t>
      </w:r>
      <w:r>
        <w:rPr>
          <w:rFonts w:hint="eastAsia"/>
          <w:u w:val="none"/>
        </w:rPr>
        <w:t>通过实习实训，学生通过文字</w:t>
      </w:r>
      <w:r>
        <w:rPr>
          <w:u w:val="none"/>
        </w:rPr>
        <w:t>编制及资料整理，旨在培养岗位技能。选题结合</w:t>
      </w:r>
      <w:r>
        <w:rPr>
          <w:rFonts w:hint="eastAsia"/>
          <w:u w:val="none"/>
        </w:rPr>
        <w:t>物业管理</w:t>
      </w:r>
      <w:r>
        <w:rPr>
          <w:u w:val="none"/>
        </w:rPr>
        <w:t>实践，内容涉及技术、经济、法律、管理，应力求选择与生产、管理、科研和试验相结合的课题。</w:t>
      </w:r>
      <w:r>
        <w:rPr>
          <w:rFonts w:hint="eastAsia" w:ascii="宋体" w:hAnsi="宋体"/>
          <w:szCs w:val="24"/>
          <w:u w:val="none"/>
        </w:rPr>
        <w:t>学生到实习单位相应实习岗位，相对独立参与实际工作，对培养和提升学生的职业素质、实践能力和创新精神具有重要意义。</w:t>
      </w:r>
    </w:p>
    <w:p>
      <w:pPr>
        <w:overflowPunct w:val="0"/>
        <w:adjustRightInd w:val="0"/>
        <w:snapToGrid w:val="0"/>
        <w:spacing w:line="420" w:lineRule="exact"/>
        <w:ind w:firstLine="480"/>
        <w:rPr>
          <w:rFonts w:hint="eastAsia" w:ascii="宋体" w:hAnsi="宋体"/>
          <w:bCs/>
          <w:u w:val="none"/>
        </w:rPr>
      </w:pPr>
      <w:r>
        <w:rPr>
          <w:rFonts w:hint="eastAsia" w:ascii="宋体" w:hAnsi="宋体"/>
          <w:szCs w:val="24"/>
          <w:u w:val="none"/>
        </w:rPr>
        <w:t>针对参加专升本考试</w:t>
      </w:r>
      <w:r>
        <w:rPr>
          <w:rFonts w:hint="eastAsia" w:ascii="宋体" w:hAnsi="宋体"/>
          <w:bCs/>
          <w:u w:val="none"/>
        </w:rPr>
        <w:t>的同学，尝试以校内实训代替</w:t>
      </w:r>
      <w:r>
        <w:rPr>
          <w:rFonts w:hint="eastAsia" w:ascii="宋体" w:hAnsi="宋体"/>
          <w:szCs w:val="24"/>
          <w:u w:val="none"/>
          <w:lang w:eastAsia="zh-CN"/>
        </w:rPr>
        <w:t>岗位</w:t>
      </w:r>
      <w:r>
        <w:rPr>
          <w:rFonts w:hint="eastAsia" w:ascii="宋体" w:hAnsi="宋体"/>
          <w:bCs/>
          <w:u w:val="none"/>
        </w:rPr>
        <w:t>实习。学生凭家长签字与专升本培训证明，可以不参加</w:t>
      </w:r>
      <w:r>
        <w:rPr>
          <w:rFonts w:hint="eastAsia" w:ascii="宋体" w:hAnsi="宋体"/>
          <w:szCs w:val="24"/>
          <w:u w:val="none"/>
          <w:lang w:eastAsia="zh-CN"/>
        </w:rPr>
        <w:t>岗位</w:t>
      </w:r>
      <w:r>
        <w:rPr>
          <w:rFonts w:hint="eastAsia" w:ascii="宋体" w:hAnsi="宋体"/>
          <w:bCs/>
          <w:u w:val="none"/>
        </w:rPr>
        <w:t>实习，参加校内综合实训。</w:t>
      </w:r>
      <w:r>
        <w:rPr>
          <w:rFonts w:hint="eastAsia" w:ascii="宋体" w:hAnsi="宋体"/>
          <w:szCs w:val="24"/>
          <w:u w:val="none"/>
          <w:lang w:eastAsia="zh-CN"/>
        </w:rPr>
        <w:t>岗位</w:t>
      </w:r>
      <w:r>
        <w:rPr>
          <w:rFonts w:hint="eastAsia" w:ascii="宋体" w:hAnsi="宋体"/>
          <w:bCs/>
          <w:u w:val="none"/>
        </w:rPr>
        <w:t>实习成绩等级由校内综合实训成绩认定。</w:t>
      </w:r>
    </w:p>
    <w:p>
      <w:pPr>
        <w:pStyle w:val="4"/>
        <w:numPr>
          <w:ilvl w:val="0"/>
          <w:numId w:val="0"/>
        </w:numPr>
        <w:ind w:left="482" w:leftChars="0"/>
        <w:rPr>
          <w:rFonts w:hint="eastAsia" w:ascii="Arial" w:hAnsi="Arial" w:cs="Times New Roman"/>
          <w:u w:val="none"/>
          <w:lang w:eastAsia="zh-CN"/>
        </w:rPr>
      </w:pPr>
      <w:bookmarkStart w:id="191" w:name="_Toc76997948"/>
      <w:bookmarkStart w:id="192" w:name="_Toc5111"/>
      <w:r>
        <w:rPr>
          <w:rFonts w:hint="eastAsia"/>
          <w:u w:val="none"/>
          <w:lang w:eastAsia="zh-CN"/>
        </w:rPr>
        <w:t>（</w:t>
      </w:r>
      <w:r>
        <w:rPr>
          <w:rFonts w:hint="eastAsia"/>
          <w:u w:val="none"/>
          <w:lang w:val="en-US" w:eastAsia="zh-CN"/>
        </w:rPr>
        <w:t>六）</w:t>
      </w:r>
      <w:r>
        <w:rPr>
          <w:rFonts w:hint="eastAsia" w:ascii="Arial" w:hAnsi="Arial" w:cs="Times New Roman"/>
          <w:u w:val="none"/>
          <w:lang w:eastAsia="zh-CN"/>
        </w:rPr>
        <w:t>专业核心课程简介</w:t>
      </w:r>
      <w:bookmarkEnd w:id="191"/>
      <w:bookmarkEnd w:id="192"/>
    </w:p>
    <w:p>
      <w:pPr>
        <w:overflowPunct w:val="0"/>
        <w:adjustRightInd w:val="0"/>
        <w:snapToGrid w:val="0"/>
        <w:ind w:firstLine="0" w:firstLineChars="0"/>
        <w:rPr>
          <w:rFonts w:hint="eastAsia" w:ascii="宋体" w:hAnsi="宋体"/>
          <w:szCs w:val="24"/>
          <w:u w:val="none"/>
        </w:rPr>
      </w:pPr>
    </w:p>
    <w:p>
      <w:pPr>
        <w:overflowPunct w:val="0"/>
        <w:adjustRightInd w:val="0"/>
        <w:snapToGrid w:val="0"/>
        <w:ind w:firstLine="0" w:firstLineChars="0"/>
        <w:rPr>
          <w:rFonts w:hint="eastAsia" w:ascii="宋体" w:hAnsi="宋体"/>
          <w:szCs w:val="24"/>
          <w:u w:val="none"/>
        </w:rPr>
      </w:pPr>
    </w:p>
    <w:p>
      <w:pPr>
        <w:overflowPunct w:val="0"/>
        <w:adjustRightInd w:val="0"/>
        <w:snapToGrid w:val="0"/>
        <w:ind w:firstLine="0" w:firstLineChars="0"/>
        <w:rPr>
          <w:rFonts w:hint="eastAsia" w:ascii="宋体" w:hAnsi="宋体"/>
          <w:szCs w:val="24"/>
          <w:u w:val="none"/>
        </w:rPr>
      </w:pPr>
    </w:p>
    <w:p>
      <w:pPr>
        <w:overflowPunct w:val="0"/>
        <w:adjustRightInd w:val="0"/>
        <w:snapToGrid w:val="0"/>
        <w:ind w:firstLine="0" w:firstLineChars="0"/>
        <w:rPr>
          <w:rFonts w:hint="eastAsia" w:ascii="宋体" w:hAnsi="宋体"/>
          <w:szCs w:val="24"/>
          <w:u w:val="none"/>
        </w:rPr>
      </w:pPr>
    </w:p>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（1）物业设备与维护</w:t>
      </w:r>
    </w:p>
    <w:tbl>
      <w:tblPr>
        <w:tblStyle w:val="16"/>
        <w:tblW w:w="5002" w:type="pct"/>
        <w:tblInd w:w="0" w:type="dxa"/>
        <w:tblLayout w:type="autofit"/>
        <w:tblCellMar>
          <w:top w:w="0" w:type="dxa"/>
          <w:left w:w="108" w:type="dxa"/>
          <w:bottom w:w="0" w:type="dxa"/>
          <w:right w:w="108" w:type="dxa"/>
        </w:tblCellMar>
      </w:tblPr>
      <w:tblGrid>
        <w:gridCol w:w="1568"/>
        <w:gridCol w:w="1104"/>
        <w:gridCol w:w="20"/>
        <w:gridCol w:w="959"/>
        <w:gridCol w:w="981"/>
        <w:gridCol w:w="1299"/>
        <w:gridCol w:w="907"/>
        <w:gridCol w:w="1371"/>
        <w:gridCol w:w="1083"/>
      </w:tblGrid>
      <w:tr>
        <w:tblPrEx>
          <w:tblCellMar>
            <w:top w:w="0" w:type="dxa"/>
            <w:left w:w="108" w:type="dxa"/>
            <w:bottom w:w="0" w:type="dxa"/>
            <w:right w:w="108" w:type="dxa"/>
          </w:tblCellMar>
        </w:tblPrEx>
        <w:trPr>
          <w:trHeight w:val="465" w:hRule="atLeast"/>
        </w:trPr>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3563" w:type="pct"/>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物业设备与维护</w:t>
            </w:r>
          </w:p>
        </w:tc>
      </w:tr>
      <w:tr>
        <w:tblPrEx>
          <w:tblCellMar>
            <w:top w:w="0" w:type="dxa"/>
            <w:left w:w="108" w:type="dxa"/>
            <w:bottom w:w="0" w:type="dxa"/>
            <w:right w:w="108" w:type="dxa"/>
          </w:tblCellMar>
        </w:tblPrEx>
        <w:trPr>
          <w:trHeight w:val="465"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59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第3学期</w:t>
            </w:r>
          </w:p>
        </w:tc>
        <w:tc>
          <w:tcPr>
            <w:tcW w:w="527"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5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69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48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textAlignment w:val="bottom"/>
              <w:rPr>
                <w:rFonts w:hint="eastAsia" w:ascii="仿宋" w:hAnsi="仿宋" w:eastAsia="仿宋" w:cs="仿宋"/>
                <w:sz w:val="21"/>
                <w:szCs w:val="21"/>
                <w:u w:val="none"/>
              </w:rPr>
            </w:pPr>
            <w:r>
              <w:rPr>
                <w:rFonts w:hint="eastAsia" w:ascii="仿宋" w:hAnsi="仿宋" w:eastAsia="仿宋" w:cs="仿宋"/>
                <w:sz w:val="21"/>
                <w:szCs w:val="21"/>
                <w:u w:val="none"/>
              </w:rPr>
              <w:t xml:space="preserve">   40</w:t>
            </w:r>
          </w:p>
        </w:tc>
        <w:tc>
          <w:tcPr>
            <w:tcW w:w="73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58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32</w:t>
            </w:r>
          </w:p>
        </w:tc>
      </w:tr>
      <w:tr>
        <w:tblPrEx>
          <w:tblCellMar>
            <w:top w:w="0" w:type="dxa"/>
            <w:left w:w="108" w:type="dxa"/>
            <w:bottom w:w="0" w:type="dxa"/>
            <w:right w:w="108" w:type="dxa"/>
          </w:tblCellMar>
        </w:tblPrEx>
        <w:trPr>
          <w:trHeight w:val="720"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4156" w:type="pct"/>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多媒体教学、建筑工地实习实训、建筑实训室模拟实习</w:t>
            </w:r>
          </w:p>
        </w:tc>
      </w:tr>
      <w:tr>
        <w:tblPrEx>
          <w:tblCellMar>
            <w:top w:w="0" w:type="dxa"/>
            <w:left w:w="108" w:type="dxa"/>
            <w:bottom w:w="0" w:type="dxa"/>
            <w:right w:w="108" w:type="dxa"/>
          </w:tblCellMar>
        </w:tblPrEx>
        <w:trPr>
          <w:trHeight w:val="720"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4156" w:type="pct"/>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掌握物业设备设施的构造、类型、维护与管理</w:t>
            </w:r>
          </w:p>
        </w:tc>
      </w:tr>
      <w:tr>
        <w:tblPrEx>
          <w:tblCellMar>
            <w:top w:w="0" w:type="dxa"/>
            <w:left w:w="108" w:type="dxa"/>
            <w:bottom w:w="0" w:type="dxa"/>
            <w:right w:w="108" w:type="dxa"/>
          </w:tblCellMar>
        </w:tblPrEx>
        <w:trPr>
          <w:trHeight w:val="720"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4156" w:type="pct"/>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物业设备设施的维护</w:t>
            </w:r>
          </w:p>
        </w:tc>
      </w:tr>
      <w:tr>
        <w:tblPrEx>
          <w:tblCellMar>
            <w:top w:w="0" w:type="dxa"/>
            <w:left w:w="108" w:type="dxa"/>
            <w:bottom w:w="0" w:type="dxa"/>
            <w:right w:w="108" w:type="dxa"/>
          </w:tblCellMar>
        </w:tblPrEx>
        <w:trPr>
          <w:trHeight w:val="720"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4156" w:type="pct"/>
            <w:gridSpan w:val="8"/>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物业设备设施的构造、类型、维护与管理</w:t>
            </w:r>
          </w:p>
        </w:tc>
      </w:tr>
      <w:tr>
        <w:tblPrEx>
          <w:tblCellMar>
            <w:top w:w="0" w:type="dxa"/>
            <w:left w:w="108" w:type="dxa"/>
            <w:bottom w:w="0" w:type="dxa"/>
            <w:right w:w="108" w:type="dxa"/>
          </w:tblCellMar>
        </w:tblPrEx>
        <w:trPr>
          <w:trHeight w:val="720" w:hRule="atLeast"/>
        </w:trPr>
        <w:tc>
          <w:tcPr>
            <w:tcW w:w="8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60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吴显庆</w:t>
            </w:r>
          </w:p>
        </w:tc>
        <w:tc>
          <w:tcPr>
            <w:tcW w:w="3551" w:type="pct"/>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赵玮</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刘丽云</w:t>
            </w:r>
          </w:p>
        </w:tc>
      </w:tr>
    </w:tbl>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（2）物业管理理论与实务</w:t>
      </w:r>
    </w:p>
    <w:tbl>
      <w:tblPr>
        <w:tblStyle w:val="16"/>
        <w:tblW w:w="9288" w:type="dxa"/>
        <w:tblInd w:w="0" w:type="dxa"/>
        <w:tblLayout w:type="fixed"/>
        <w:tblCellMar>
          <w:top w:w="0" w:type="dxa"/>
          <w:left w:w="108" w:type="dxa"/>
          <w:bottom w:w="0" w:type="dxa"/>
          <w:right w:w="108" w:type="dxa"/>
        </w:tblCellMar>
      </w:tblPr>
      <w:tblGrid>
        <w:gridCol w:w="1566"/>
        <w:gridCol w:w="1103"/>
        <w:gridCol w:w="979"/>
        <w:gridCol w:w="981"/>
        <w:gridCol w:w="1298"/>
        <w:gridCol w:w="907"/>
        <w:gridCol w:w="1371"/>
        <w:gridCol w:w="1083"/>
      </w:tblGrid>
      <w:tr>
        <w:tblPrEx>
          <w:tblCellMar>
            <w:top w:w="0" w:type="dxa"/>
            <w:left w:w="108" w:type="dxa"/>
            <w:bottom w:w="0" w:type="dxa"/>
            <w:right w:w="108" w:type="dxa"/>
          </w:tblCellMar>
        </w:tblPrEx>
        <w:trPr>
          <w:trHeight w:val="465" w:hRule="atLeast"/>
        </w:trPr>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物业管理理论与实务</w:t>
            </w:r>
          </w:p>
        </w:tc>
      </w:tr>
      <w:tr>
        <w:tblPrEx>
          <w:tblCellMar>
            <w:top w:w="0" w:type="dxa"/>
            <w:left w:w="108" w:type="dxa"/>
            <w:bottom w:w="0" w:type="dxa"/>
            <w:right w:w="108" w:type="dxa"/>
          </w:tblCellMar>
        </w:tblPrEx>
        <w:trPr>
          <w:trHeight w:val="465"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第3学期</w:t>
            </w:r>
          </w:p>
        </w:tc>
        <w:tc>
          <w:tcPr>
            <w:tcW w:w="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48</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24</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多媒体教学、物业管理企业实习实训、物业实训室上机模拟实习</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物业招投标、物业前期介入、物业接管验收、物业日常管理</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熟知物业管理的业务范围、作业程序和作业要求，掌握物业专业技能知识，具备物业管理岗位所需的管理知识，能够独立地处理物业基本业务工作。</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物业招投标、物业前期介入、物业接管验收、物业日常管理</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刘丽云</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赵玮</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吴显庆</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虞琼芳</w:t>
            </w:r>
          </w:p>
        </w:tc>
      </w:tr>
    </w:tbl>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（3）建设法规</w:t>
      </w:r>
    </w:p>
    <w:tbl>
      <w:tblPr>
        <w:tblStyle w:val="16"/>
        <w:tblW w:w="9288" w:type="dxa"/>
        <w:tblInd w:w="0" w:type="dxa"/>
        <w:tblLayout w:type="fixed"/>
        <w:tblCellMar>
          <w:top w:w="0" w:type="dxa"/>
          <w:left w:w="108" w:type="dxa"/>
          <w:bottom w:w="0" w:type="dxa"/>
          <w:right w:w="108" w:type="dxa"/>
        </w:tblCellMar>
      </w:tblPr>
      <w:tblGrid>
        <w:gridCol w:w="1567"/>
        <w:gridCol w:w="1093"/>
        <w:gridCol w:w="9"/>
        <w:gridCol w:w="979"/>
        <w:gridCol w:w="981"/>
        <w:gridCol w:w="1298"/>
        <w:gridCol w:w="907"/>
        <w:gridCol w:w="1371"/>
        <w:gridCol w:w="1083"/>
      </w:tblGrid>
      <w:tr>
        <w:tblPrEx>
          <w:tblCellMar>
            <w:top w:w="0" w:type="dxa"/>
            <w:left w:w="108" w:type="dxa"/>
            <w:bottom w:w="0" w:type="dxa"/>
            <w:right w:w="108" w:type="dxa"/>
          </w:tblCellMar>
        </w:tblPrEx>
        <w:trPr>
          <w:trHeight w:val="465" w:hRule="atLeast"/>
        </w:trPr>
        <w:tc>
          <w:tcPr>
            <w:tcW w:w="26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建设法规</w:t>
            </w:r>
          </w:p>
        </w:tc>
      </w:tr>
      <w:tr>
        <w:tblPrEx>
          <w:tblCellMar>
            <w:top w:w="0" w:type="dxa"/>
            <w:left w:w="108" w:type="dxa"/>
            <w:bottom w:w="0" w:type="dxa"/>
            <w:right w:w="108" w:type="dxa"/>
          </w:tblCellMar>
        </w:tblPrEx>
        <w:trPr>
          <w:trHeight w:val="465"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第3学期</w:t>
            </w:r>
          </w:p>
        </w:tc>
        <w:tc>
          <w:tcPr>
            <w:tcW w:w="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48</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24</w:t>
            </w:r>
          </w:p>
        </w:tc>
      </w:tr>
      <w:tr>
        <w:tblPrEx>
          <w:tblCellMar>
            <w:top w:w="0" w:type="dxa"/>
            <w:left w:w="108" w:type="dxa"/>
            <w:bottom w:w="0" w:type="dxa"/>
            <w:right w:w="108" w:type="dxa"/>
          </w:tblCellMar>
        </w:tblPrEx>
        <w:trPr>
          <w:trHeight w:val="720"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7721" w:type="dxa"/>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多媒体教学、案例分析、小组讨论、模拟实习</w:t>
            </w:r>
          </w:p>
        </w:tc>
      </w:tr>
      <w:tr>
        <w:tblPrEx>
          <w:tblCellMar>
            <w:top w:w="0" w:type="dxa"/>
            <w:left w:w="108" w:type="dxa"/>
            <w:bottom w:w="0" w:type="dxa"/>
            <w:right w:w="108" w:type="dxa"/>
          </w:tblCellMar>
        </w:tblPrEx>
        <w:trPr>
          <w:trHeight w:val="720"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7721" w:type="dxa"/>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建筑行业基本制度与政策的掌握</w:t>
            </w:r>
          </w:p>
        </w:tc>
      </w:tr>
      <w:tr>
        <w:tblPrEx>
          <w:tblCellMar>
            <w:top w:w="0" w:type="dxa"/>
            <w:left w:w="108" w:type="dxa"/>
            <w:bottom w:w="0" w:type="dxa"/>
            <w:right w:w="108" w:type="dxa"/>
          </w:tblCellMar>
        </w:tblPrEx>
        <w:trPr>
          <w:trHeight w:val="720"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7721" w:type="dxa"/>
            <w:gridSpan w:val="8"/>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熟知国家及地方政府有关物业管理的各项法规政策，并能运用其处理好各类纠纷与投诉</w:t>
            </w:r>
          </w:p>
        </w:tc>
      </w:tr>
      <w:tr>
        <w:tblPrEx>
          <w:tblCellMar>
            <w:top w:w="0" w:type="dxa"/>
            <w:left w:w="108" w:type="dxa"/>
            <w:bottom w:w="0" w:type="dxa"/>
            <w:right w:w="108" w:type="dxa"/>
          </w:tblCellMar>
        </w:tblPrEx>
        <w:trPr>
          <w:trHeight w:val="720"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7721" w:type="dxa"/>
            <w:gridSpan w:val="8"/>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房地产、物业相关法律法规</w:t>
            </w:r>
          </w:p>
        </w:tc>
      </w:tr>
      <w:tr>
        <w:tblPrEx>
          <w:tblCellMar>
            <w:top w:w="0" w:type="dxa"/>
            <w:left w:w="108" w:type="dxa"/>
            <w:bottom w:w="0" w:type="dxa"/>
            <w:right w:w="108" w:type="dxa"/>
          </w:tblCellMar>
        </w:tblPrEx>
        <w:trPr>
          <w:trHeight w:val="720" w:hRule="atLeast"/>
        </w:trPr>
        <w:tc>
          <w:tcPr>
            <w:tcW w:w="15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徐莎莎</w:t>
            </w:r>
          </w:p>
        </w:tc>
        <w:tc>
          <w:tcPr>
            <w:tcW w:w="662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王宣</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翟美龄</w:t>
            </w:r>
          </w:p>
        </w:tc>
      </w:tr>
    </w:tbl>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（4）房地产开发与经营</w:t>
      </w:r>
    </w:p>
    <w:tbl>
      <w:tblPr>
        <w:tblStyle w:val="16"/>
        <w:tblW w:w="9288" w:type="dxa"/>
        <w:tblInd w:w="0" w:type="dxa"/>
        <w:tblLayout w:type="fixed"/>
        <w:tblCellMar>
          <w:top w:w="0" w:type="dxa"/>
          <w:left w:w="108" w:type="dxa"/>
          <w:bottom w:w="0" w:type="dxa"/>
          <w:right w:w="108" w:type="dxa"/>
        </w:tblCellMar>
      </w:tblPr>
      <w:tblGrid>
        <w:gridCol w:w="1566"/>
        <w:gridCol w:w="1103"/>
        <w:gridCol w:w="979"/>
        <w:gridCol w:w="981"/>
        <w:gridCol w:w="1298"/>
        <w:gridCol w:w="907"/>
        <w:gridCol w:w="1371"/>
        <w:gridCol w:w="1083"/>
      </w:tblGrid>
      <w:tr>
        <w:tblPrEx>
          <w:tblCellMar>
            <w:top w:w="0" w:type="dxa"/>
            <w:left w:w="108" w:type="dxa"/>
            <w:bottom w:w="0" w:type="dxa"/>
            <w:right w:w="108" w:type="dxa"/>
          </w:tblCellMar>
        </w:tblPrEx>
        <w:trPr>
          <w:trHeight w:val="465" w:hRule="atLeast"/>
        </w:trPr>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房地产开发与经营</w:t>
            </w:r>
          </w:p>
        </w:tc>
      </w:tr>
      <w:tr>
        <w:tblPrEx>
          <w:tblCellMar>
            <w:top w:w="0" w:type="dxa"/>
            <w:left w:w="108" w:type="dxa"/>
            <w:bottom w:w="0" w:type="dxa"/>
            <w:right w:w="108" w:type="dxa"/>
          </w:tblCellMar>
        </w:tblPrEx>
        <w:trPr>
          <w:trHeight w:val="465"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第3学期</w:t>
            </w:r>
          </w:p>
        </w:tc>
        <w:tc>
          <w:tcPr>
            <w:tcW w:w="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54</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18</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多媒体教学、售楼现场教学、建筑实训室模拟实习</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房地产市场调研、项目管理</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熟知房地产开发的业务范围、作业程序和作业要求，具备物业管理岗位所需的管理知识，能够独立地处理基本业务工作</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掌握房地产市场调研、项目管理等</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徐莎莎</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虞琼芳</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王宣</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王宏莹</w:t>
            </w:r>
          </w:p>
        </w:tc>
      </w:tr>
    </w:tbl>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（5）房地产营销与策划</w:t>
      </w:r>
    </w:p>
    <w:tbl>
      <w:tblPr>
        <w:tblStyle w:val="16"/>
        <w:tblW w:w="9288" w:type="dxa"/>
        <w:tblInd w:w="0" w:type="dxa"/>
        <w:tblLayout w:type="fixed"/>
        <w:tblCellMar>
          <w:top w:w="0" w:type="dxa"/>
          <w:left w:w="108" w:type="dxa"/>
          <w:bottom w:w="0" w:type="dxa"/>
          <w:right w:w="108" w:type="dxa"/>
        </w:tblCellMar>
      </w:tblPr>
      <w:tblGrid>
        <w:gridCol w:w="1566"/>
        <w:gridCol w:w="1103"/>
        <w:gridCol w:w="979"/>
        <w:gridCol w:w="981"/>
        <w:gridCol w:w="1298"/>
        <w:gridCol w:w="907"/>
        <w:gridCol w:w="1371"/>
        <w:gridCol w:w="1083"/>
      </w:tblGrid>
      <w:tr>
        <w:tblPrEx>
          <w:tblCellMar>
            <w:top w:w="0" w:type="dxa"/>
            <w:left w:w="108" w:type="dxa"/>
            <w:bottom w:w="0" w:type="dxa"/>
            <w:right w:w="108" w:type="dxa"/>
          </w:tblCellMar>
        </w:tblPrEx>
        <w:trPr>
          <w:trHeight w:val="465" w:hRule="atLeast"/>
        </w:trPr>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color w:val="000000"/>
                <w:kern w:val="0"/>
                <w:sz w:val="21"/>
                <w:szCs w:val="21"/>
                <w:u w:val="none"/>
                <w:lang w:bidi="ar"/>
              </w:rPr>
              <w:t>房地产营销与策划</w:t>
            </w:r>
          </w:p>
        </w:tc>
      </w:tr>
      <w:tr>
        <w:tblPrEx>
          <w:tblCellMar>
            <w:top w:w="0" w:type="dxa"/>
            <w:left w:w="108" w:type="dxa"/>
            <w:bottom w:w="0" w:type="dxa"/>
            <w:right w:w="108" w:type="dxa"/>
          </w:tblCellMar>
        </w:tblPrEx>
        <w:trPr>
          <w:trHeight w:val="465"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第4学期</w:t>
            </w:r>
          </w:p>
        </w:tc>
        <w:tc>
          <w:tcPr>
            <w:tcW w:w="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40</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32</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多媒体教学、案例分析、小组讨论、模拟实习</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color w:val="000000"/>
                <w:kern w:val="0"/>
                <w:sz w:val="21"/>
                <w:szCs w:val="21"/>
                <w:u w:val="none"/>
                <w:lang w:bidi="ar"/>
              </w:rPr>
              <w:t>房地产营销与策划理论和方法，战略管理理论</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组织建立营销团队；能够选择适合的项目或产品，掌握营销策划的理论与流程，提出营销思路；系统的根据主题设计研讨方案，具有实地调研的能力并撰写调研报告；掌握市场定位的程序、方法和策略，具备市场细分、目标市场选择及定位的能力</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掌握房地产市场调研、房地产营销策划等</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虞琼芳</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徐莎莎</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翟美龄</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王宣</w:t>
            </w:r>
          </w:p>
        </w:tc>
      </w:tr>
    </w:tbl>
    <w:p>
      <w:pPr>
        <w:overflowPunct w:val="0"/>
        <w:adjustRightInd w:val="0"/>
        <w:snapToGrid w:val="0"/>
        <w:ind w:firstLine="0" w:firstLineChars="0"/>
        <w:rPr>
          <w:rFonts w:hint="eastAsia" w:ascii="宋体" w:hAnsi="宋体"/>
          <w:szCs w:val="24"/>
          <w:u w:val="none"/>
        </w:rPr>
      </w:pPr>
    </w:p>
    <w:p>
      <w:pPr>
        <w:overflowPunct w:val="0"/>
        <w:adjustRightInd w:val="0"/>
        <w:snapToGrid w:val="0"/>
        <w:ind w:firstLine="0" w:firstLineChars="0"/>
        <w:rPr>
          <w:rFonts w:hint="eastAsia" w:ascii="黑体" w:hAnsi="黑体" w:eastAsia="黑体"/>
          <w:b/>
          <w:szCs w:val="24"/>
          <w:u w:val="none"/>
        </w:rPr>
      </w:pPr>
      <w:r>
        <w:rPr>
          <w:rFonts w:hint="eastAsia" w:ascii="宋体" w:hAnsi="宋体"/>
          <w:szCs w:val="24"/>
          <w:u w:val="none"/>
        </w:rPr>
        <w:t>（6）房地产估价</w:t>
      </w:r>
    </w:p>
    <w:tbl>
      <w:tblPr>
        <w:tblStyle w:val="16"/>
        <w:tblW w:w="9288" w:type="dxa"/>
        <w:tblInd w:w="0" w:type="dxa"/>
        <w:tblLayout w:type="fixed"/>
        <w:tblCellMar>
          <w:top w:w="0" w:type="dxa"/>
          <w:left w:w="108" w:type="dxa"/>
          <w:bottom w:w="0" w:type="dxa"/>
          <w:right w:w="108" w:type="dxa"/>
        </w:tblCellMar>
      </w:tblPr>
      <w:tblGrid>
        <w:gridCol w:w="1566"/>
        <w:gridCol w:w="1103"/>
        <w:gridCol w:w="979"/>
        <w:gridCol w:w="981"/>
        <w:gridCol w:w="1298"/>
        <w:gridCol w:w="907"/>
        <w:gridCol w:w="1371"/>
        <w:gridCol w:w="1083"/>
      </w:tblGrid>
      <w:tr>
        <w:tblPrEx>
          <w:tblCellMar>
            <w:top w:w="0" w:type="dxa"/>
            <w:left w:w="108" w:type="dxa"/>
            <w:bottom w:w="0" w:type="dxa"/>
            <w:right w:w="108" w:type="dxa"/>
          </w:tblCellMar>
        </w:tblPrEx>
        <w:trPr>
          <w:trHeight w:val="465" w:hRule="atLeast"/>
        </w:trPr>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课程名称</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房地产估价</w:t>
            </w:r>
          </w:p>
        </w:tc>
      </w:tr>
      <w:tr>
        <w:tblPrEx>
          <w:tblCellMar>
            <w:top w:w="0" w:type="dxa"/>
            <w:left w:w="108" w:type="dxa"/>
            <w:bottom w:w="0" w:type="dxa"/>
            <w:right w:w="108" w:type="dxa"/>
          </w:tblCellMar>
        </w:tblPrEx>
        <w:trPr>
          <w:trHeight w:val="465"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实施学期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left="-120" w:leftChars="-50" w:right="-120" w:rightChars="-50"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第3学期</w:t>
            </w:r>
          </w:p>
        </w:tc>
        <w:tc>
          <w:tcPr>
            <w:tcW w:w="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总学时</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72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讲授学时</w:t>
            </w:r>
          </w:p>
        </w:tc>
        <w:tc>
          <w:tcPr>
            <w:tcW w:w="9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36</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实训学时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36</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教学组织</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多媒体教学、案例分析、小组讨论、模拟实习</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学习重点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color w:val="000000"/>
                <w:kern w:val="0"/>
                <w:sz w:val="21"/>
                <w:szCs w:val="21"/>
                <w:u w:val="none"/>
                <w:lang w:bidi="ar"/>
              </w:rPr>
              <w:t>房地产估价理论和方法</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职业能力</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了解房地产的概念与房地产价格的特征；熟悉房地产估价的原则与房地产价格影响因素；掌握市场比较法、收益法、成本法、假设开发法等房地产评估的基本方法，并能独立运用所学的知识对具体的估价对象进行简单的评估工作。</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主要内容</w:t>
            </w:r>
          </w:p>
        </w:tc>
        <w:tc>
          <w:tcPr>
            <w:tcW w:w="7722" w:type="dxa"/>
            <w:gridSpan w:val="7"/>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rPr>
                <w:rFonts w:hint="eastAsia" w:ascii="仿宋" w:hAnsi="仿宋" w:eastAsia="仿宋" w:cs="仿宋"/>
                <w:sz w:val="21"/>
                <w:szCs w:val="21"/>
                <w:u w:val="none"/>
              </w:rPr>
            </w:pPr>
            <w:r>
              <w:rPr>
                <w:rFonts w:hint="eastAsia" w:ascii="仿宋" w:hAnsi="仿宋" w:eastAsia="仿宋" w:cs="仿宋"/>
                <w:sz w:val="21"/>
                <w:szCs w:val="21"/>
                <w:u w:val="none"/>
              </w:rPr>
              <w:t>掌握房地产估价、房地产综合服务等</w:t>
            </w:r>
          </w:p>
        </w:tc>
      </w:tr>
      <w:tr>
        <w:tblPrEx>
          <w:tblCellMar>
            <w:top w:w="0" w:type="dxa"/>
            <w:left w:w="108" w:type="dxa"/>
            <w:bottom w:w="0" w:type="dxa"/>
            <w:right w:w="108" w:type="dxa"/>
          </w:tblCellMar>
        </w:tblPrEx>
        <w:trPr>
          <w:trHeight w:val="720" w:hRule="atLeast"/>
        </w:trPr>
        <w:tc>
          <w:tcPr>
            <w:tcW w:w="15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主讲教师及</w:t>
            </w:r>
          </w:p>
          <w:p>
            <w:pPr>
              <w:autoSpaceDE w:val="0"/>
              <w:autoSpaceDN w:val="0"/>
              <w:spacing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团队</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center"/>
              <w:textAlignment w:val="bottom"/>
              <w:rPr>
                <w:rFonts w:hint="eastAsia" w:ascii="仿宋" w:hAnsi="仿宋" w:eastAsia="仿宋" w:cs="仿宋"/>
                <w:sz w:val="21"/>
                <w:szCs w:val="21"/>
                <w:u w:val="none"/>
              </w:rPr>
            </w:pPr>
            <w:r>
              <w:rPr>
                <w:rFonts w:hint="eastAsia" w:ascii="仿宋" w:hAnsi="仿宋" w:eastAsia="仿宋" w:cs="仿宋"/>
                <w:sz w:val="21"/>
                <w:szCs w:val="21"/>
                <w:u w:val="none"/>
              </w:rPr>
              <w:t>虞琼芳</w:t>
            </w:r>
          </w:p>
        </w:tc>
        <w:tc>
          <w:tcPr>
            <w:tcW w:w="66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beforeAutospacing="1" w:after="100" w:afterAutospacing="1" w:line="240" w:lineRule="auto"/>
              <w:ind w:firstLine="0" w:firstLineChars="0"/>
              <w:jc w:val="left"/>
              <w:textAlignment w:val="bottom"/>
              <w:rPr>
                <w:rFonts w:hint="eastAsia" w:ascii="仿宋" w:hAnsi="仿宋" w:eastAsia="仿宋" w:cs="仿宋"/>
                <w:sz w:val="21"/>
                <w:szCs w:val="21"/>
                <w:u w:val="none"/>
              </w:rPr>
            </w:pPr>
            <w:r>
              <w:rPr>
                <w:rFonts w:hint="eastAsia" w:ascii="仿宋" w:hAnsi="仿宋" w:eastAsia="仿宋" w:cs="仿宋"/>
                <w:sz w:val="21"/>
                <w:szCs w:val="21"/>
                <w:u w:val="none"/>
              </w:rPr>
              <w:t>徐莎莎</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戴小凤</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none"/>
              </w:rPr>
              <w:t>周珊颖</w:t>
            </w:r>
          </w:p>
        </w:tc>
      </w:tr>
    </w:tbl>
    <w:p>
      <w:pPr>
        <w:overflowPunct w:val="0"/>
        <w:adjustRightInd w:val="0"/>
        <w:snapToGrid w:val="0"/>
        <w:spacing w:line="420" w:lineRule="exact"/>
        <w:ind w:firstLine="0" w:firstLineChars="0"/>
        <w:rPr>
          <w:rFonts w:hint="eastAsia" w:ascii="黑体" w:hAnsi="黑体" w:eastAsia="黑体"/>
          <w:b/>
          <w:szCs w:val="24"/>
          <w:u w:val="none"/>
        </w:rPr>
      </w:pPr>
    </w:p>
    <w:sectPr>
      <w:footerReference r:id="rId13" w:type="default"/>
      <w:pgSz w:w="11906" w:h="16838"/>
      <w:pgMar w:top="1417" w:right="1417" w:bottom="1417" w:left="141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0" w:firstLineChars="0"/>
                            <w:rPr>
                              <w:rFonts w:hint="eastAsia"/>
                            </w:rP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10"/>
                      <w:ind w:firstLine="0" w:firstLineChars="0"/>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9"/>
      </w:rPr>
    </w:pPr>
    <w:r>
      <w:fldChar w:fldCharType="begin"/>
    </w:r>
    <w:r>
      <w:rPr>
        <w:rStyle w:val="19"/>
      </w:rPr>
      <w:instrText xml:space="preserve">PAGE  </w:instrText>
    </w:r>
    <w:r>
      <w:fldChar w:fldCharType="end"/>
    </w:r>
  </w:p>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fldChar w:fldCharType="begin"/>
    </w:r>
    <w:r>
      <w:instrText xml:space="preserve">PAGE   \* MERGEFORMAT</w:instrText>
    </w:r>
    <w:r>
      <w:fldChar w:fldCharType="separate"/>
    </w:r>
    <w:r>
      <w:rPr>
        <w:lang w:val="zh-CN"/>
      </w:rPr>
      <w:t>0</w:t>
    </w:r>
    <w:r>
      <w:fldChar w:fldCharType="end"/>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A1917"/>
    <w:multiLevelType w:val="singleLevel"/>
    <w:tmpl w:val="311A1917"/>
    <w:lvl w:ilvl="0" w:tentative="0">
      <w:start w:val="1"/>
      <w:numFmt w:val="chineseCounting"/>
      <w:suff w:val="nothing"/>
      <w:lvlText w:val="（%1）"/>
      <w:lvlJc w:val="left"/>
      <w:rPr>
        <w:rFonts w:hint="eastAsia"/>
      </w:rPr>
    </w:lvl>
  </w:abstractNum>
  <w:abstractNum w:abstractNumId="1">
    <w:nsid w:val="5A96732D"/>
    <w:multiLevelType w:val="multilevel"/>
    <w:tmpl w:val="5A96732D"/>
    <w:lvl w:ilvl="0" w:tentative="0">
      <w:start w:val="1"/>
      <w:numFmt w:val="chineseCounting"/>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zVmMWJmMWNiNDAzNDgzMjUyOGI4NzRlZWIzODIifQ=="/>
  </w:docVars>
  <w:rsids>
    <w:rsidRoot w:val="00172A27"/>
    <w:rsid w:val="000102E8"/>
    <w:rsid w:val="00017C09"/>
    <w:rsid w:val="00027D2A"/>
    <w:rsid w:val="00033403"/>
    <w:rsid w:val="000375B3"/>
    <w:rsid w:val="000824BD"/>
    <w:rsid w:val="00091DE4"/>
    <w:rsid w:val="000972E8"/>
    <w:rsid w:val="000B4916"/>
    <w:rsid w:val="000B4DF4"/>
    <w:rsid w:val="000C3DEA"/>
    <w:rsid w:val="000D68FB"/>
    <w:rsid w:val="000E3042"/>
    <w:rsid w:val="000F19C0"/>
    <w:rsid w:val="000F6E47"/>
    <w:rsid w:val="001065CD"/>
    <w:rsid w:val="00115604"/>
    <w:rsid w:val="00125A5A"/>
    <w:rsid w:val="00130B08"/>
    <w:rsid w:val="00133A04"/>
    <w:rsid w:val="00133BF6"/>
    <w:rsid w:val="0013665F"/>
    <w:rsid w:val="001371EE"/>
    <w:rsid w:val="00156DDE"/>
    <w:rsid w:val="00162441"/>
    <w:rsid w:val="00167D8D"/>
    <w:rsid w:val="001726E8"/>
    <w:rsid w:val="001816DF"/>
    <w:rsid w:val="0019739A"/>
    <w:rsid w:val="001A5D5C"/>
    <w:rsid w:val="001C0261"/>
    <w:rsid w:val="001C0719"/>
    <w:rsid w:val="001D58B1"/>
    <w:rsid w:val="001D5A20"/>
    <w:rsid w:val="001E2B35"/>
    <w:rsid w:val="001E3808"/>
    <w:rsid w:val="001F161B"/>
    <w:rsid w:val="0020155A"/>
    <w:rsid w:val="00201EB1"/>
    <w:rsid w:val="002245FB"/>
    <w:rsid w:val="0023507C"/>
    <w:rsid w:val="00250461"/>
    <w:rsid w:val="00250C4E"/>
    <w:rsid w:val="00252111"/>
    <w:rsid w:val="00267DC0"/>
    <w:rsid w:val="002944DB"/>
    <w:rsid w:val="002A67F0"/>
    <w:rsid w:val="002A7D59"/>
    <w:rsid w:val="002A7E8E"/>
    <w:rsid w:val="002B2AE0"/>
    <w:rsid w:val="002B3319"/>
    <w:rsid w:val="002B5D4F"/>
    <w:rsid w:val="002E521B"/>
    <w:rsid w:val="002E7619"/>
    <w:rsid w:val="002F01B1"/>
    <w:rsid w:val="002F4151"/>
    <w:rsid w:val="00301C89"/>
    <w:rsid w:val="003068FC"/>
    <w:rsid w:val="00312C37"/>
    <w:rsid w:val="0031416E"/>
    <w:rsid w:val="003307D2"/>
    <w:rsid w:val="00332E20"/>
    <w:rsid w:val="00352DBD"/>
    <w:rsid w:val="00353871"/>
    <w:rsid w:val="00357050"/>
    <w:rsid w:val="003619ED"/>
    <w:rsid w:val="003639FF"/>
    <w:rsid w:val="00365CEA"/>
    <w:rsid w:val="00371DED"/>
    <w:rsid w:val="00376EED"/>
    <w:rsid w:val="00386B95"/>
    <w:rsid w:val="00396201"/>
    <w:rsid w:val="003B6541"/>
    <w:rsid w:val="003C7D42"/>
    <w:rsid w:val="003D277D"/>
    <w:rsid w:val="003E3486"/>
    <w:rsid w:val="003E3734"/>
    <w:rsid w:val="00405277"/>
    <w:rsid w:val="00421A23"/>
    <w:rsid w:val="00430152"/>
    <w:rsid w:val="004351CF"/>
    <w:rsid w:val="0045582D"/>
    <w:rsid w:val="004700A1"/>
    <w:rsid w:val="0047035D"/>
    <w:rsid w:val="004716B1"/>
    <w:rsid w:val="00473B39"/>
    <w:rsid w:val="00492E12"/>
    <w:rsid w:val="00492F9F"/>
    <w:rsid w:val="00497CE1"/>
    <w:rsid w:val="00497DD0"/>
    <w:rsid w:val="004A3E1D"/>
    <w:rsid w:val="004A7B98"/>
    <w:rsid w:val="004C16B7"/>
    <w:rsid w:val="004D3C16"/>
    <w:rsid w:val="004D64EE"/>
    <w:rsid w:val="004D6E2D"/>
    <w:rsid w:val="004E7E91"/>
    <w:rsid w:val="004F0628"/>
    <w:rsid w:val="004F414D"/>
    <w:rsid w:val="004F72B5"/>
    <w:rsid w:val="00503EE7"/>
    <w:rsid w:val="00520481"/>
    <w:rsid w:val="00521CCC"/>
    <w:rsid w:val="00550218"/>
    <w:rsid w:val="0057744B"/>
    <w:rsid w:val="00577F8F"/>
    <w:rsid w:val="00582C61"/>
    <w:rsid w:val="00585CF8"/>
    <w:rsid w:val="005A6F25"/>
    <w:rsid w:val="005B0E79"/>
    <w:rsid w:val="005B4FC9"/>
    <w:rsid w:val="005E54BB"/>
    <w:rsid w:val="005F2A57"/>
    <w:rsid w:val="005F4025"/>
    <w:rsid w:val="005F41F3"/>
    <w:rsid w:val="005F508B"/>
    <w:rsid w:val="005F7BB2"/>
    <w:rsid w:val="00610468"/>
    <w:rsid w:val="00610764"/>
    <w:rsid w:val="00630C34"/>
    <w:rsid w:val="00641D6B"/>
    <w:rsid w:val="00642390"/>
    <w:rsid w:val="00657A3F"/>
    <w:rsid w:val="00665E3A"/>
    <w:rsid w:val="00687B72"/>
    <w:rsid w:val="006941D3"/>
    <w:rsid w:val="006A2FCB"/>
    <w:rsid w:val="006B427B"/>
    <w:rsid w:val="006B44BE"/>
    <w:rsid w:val="006C0659"/>
    <w:rsid w:val="006C2A8F"/>
    <w:rsid w:val="006C3E78"/>
    <w:rsid w:val="006D0F47"/>
    <w:rsid w:val="006D1A5C"/>
    <w:rsid w:val="006E61E2"/>
    <w:rsid w:val="006E6C29"/>
    <w:rsid w:val="006F2BD6"/>
    <w:rsid w:val="006F7FD8"/>
    <w:rsid w:val="00715BE7"/>
    <w:rsid w:val="0071627B"/>
    <w:rsid w:val="00722D21"/>
    <w:rsid w:val="007230EB"/>
    <w:rsid w:val="00724108"/>
    <w:rsid w:val="00725F88"/>
    <w:rsid w:val="00727DE6"/>
    <w:rsid w:val="00734612"/>
    <w:rsid w:val="00747F72"/>
    <w:rsid w:val="0075088B"/>
    <w:rsid w:val="00753628"/>
    <w:rsid w:val="007667EB"/>
    <w:rsid w:val="007731C3"/>
    <w:rsid w:val="00774991"/>
    <w:rsid w:val="00774CE4"/>
    <w:rsid w:val="00795F5A"/>
    <w:rsid w:val="007A331B"/>
    <w:rsid w:val="007A73F5"/>
    <w:rsid w:val="007B3140"/>
    <w:rsid w:val="007B7617"/>
    <w:rsid w:val="007C6D01"/>
    <w:rsid w:val="007E0283"/>
    <w:rsid w:val="007E399C"/>
    <w:rsid w:val="007E3F53"/>
    <w:rsid w:val="008139FB"/>
    <w:rsid w:val="008372F9"/>
    <w:rsid w:val="00847DE9"/>
    <w:rsid w:val="00862BF4"/>
    <w:rsid w:val="008665F4"/>
    <w:rsid w:val="00866679"/>
    <w:rsid w:val="00870F0A"/>
    <w:rsid w:val="008736C2"/>
    <w:rsid w:val="0088130A"/>
    <w:rsid w:val="00882DD3"/>
    <w:rsid w:val="00883855"/>
    <w:rsid w:val="00892F71"/>
    <w:rsid w:val="008B5D35"/>
    <w:rsid w:val="008C7D19"/>
    <w:rsid w:val="008D0B24"/>
    <w:rsid w:val="008D2856"/>
    <w:rsid w:val="008D5DB8"/>
    <w:rsid w:val="008D7B63"/>
    <w:rsid w:val="00901BA8"/>
    <w:rsid w:val="00904541"/>
    <w:rsid w:val="0090469F"/>
    <w:rsid w:val="00906A92"/>
    <w:rsid w:val="009133F5"/>
    <w:rsid w:val="00931339"/>
    <w:rsid w:val="00935E29"/>
    <w:rsid w:val="009426F7"/>
    <w:rsid w:val="00944D27"/>
    <w:rsid w:val="00946AD7"/>
    <w:rsid w:val="009674C0"/>
    <w:rsid w:val="00974E43"/>
    <w:rsid w:val="00975236"/>
    <w:rsid w:val="009877CA"/>
    <w:rsid w:val="00994235"/>
    <w:rsid w:val="009A2111"/>
    <w:rsid w:val="009A65CE"/>
    <w:rsid w:val="009A65E7"/>
    <w:rsid w:val="009A726C"/>
    <w:rsid w:val="009C16DE"/>
    <w:rsid w:val="009C6011"/>
    <w:rsid w:val="009C6207"/>
    <w:rsid w:val="009D0B19"/>
    <w:rsid w:val="009E6BDC"/>
    <w:rsid w:val="009E7B0B"/>
    <w:rsid w:val="009E7E37"/>
    <w:rsid w:val="009F5304"/>
    <w:rsid w:val="00A04752"/>
    <w:rsid w:val="00A13274"/>
    <w:rsid w:val="00A151DB"/>
    <w:rsid w:val="00A271DE"/>
    <w:rsid w:val="00A31028"/>
    <w:rsid w:val="00A31DBF"/>
    <w:rsid w:val="00A33BD0"/>
    <w:rsid w:val="00A708F1"/>
    <w:rsid w:val="00A913C8"/>
    <w:rsid w:val="00A91607"/>
    <w:rsid w:val="00AA6C99"/>
    <w:rsid w:val="00AB2727"/>
    <w:rsid w:val="00AB3AAA"/>
    <w:rsid w:val="00AC1B25"/>
    <w:rsid w:val="00AE0207"/>
    <w:rsid w:val="00AE4E5B"/>
    <w:rsid w:val="00AF28D7"/>
    <w:rsid w:val="00B03FD9"/>
    <w:rsid w:val="00B10D8B"/>
    <w:rsid w:val="00B121BC"/>
    <w:rsid w:val="00B2627F"/>
    <w:rsid w:val="00B31235"/>
    <w:rsid w:val="00B354EB"/>
    <w:rsid w:val="00B3644E"/>
    <w:rsid w:val="00B36ED5"/>
    <w:rsid w:val="00B448A4"/>
    <w:rsid w:val="00B46587"/>
    <w:rsid w:val="00B56297"/>
    <w:rsid w:val="00B85FFC"/>
    <w:rsid w:val="00BB0EA5"/>
    <w:rsid w:val="00BB6CEA"/>
    <w:rsid w:val="00BC0983"/>
    <w:rsid w:val="00BC3614"/>
    <w:rsid w:val="00BC626F"/>
    <w:rsid w:val="00BD1F26"/>
    <w:rsid w:val="00BD515F"/>
    <w:rsid w:val="00BE700A"/>
    <w:rsid w:val="00BF033C"/>
    <w:rsid w:val="00BF6B27"/>
    <w:rsid w:val="00C35B10"/>
    <w:rsid w:val="00C428C9"/>
    <w:rsid w:val="00C6771A"/>
    <w:rsid w:val="00C70D45"/>
    <w:rsid w:val="00C756E5"/>
    <w:rsid w:val="00C75AC6"/>
    <w:rsid w:val="00CC6F5A"/>
    <w:rsid w:val="00CD34C3"/>
    <w:rsid w:val="00CD76F0"/>
    <w:rsid w:val="00CE0990"/>
    <w:rsid w:val="00CE3149"/>
    <w:rsid w:val="00CE40C0"/>
    <w:rsid w:val="00D01034"/>
    <w:rsid w:val="00D029F0"/>
    <w:rsid w:val="00D20626"/>
    <w:rsid w:val="00D24C31"/>
    <w:rsid w:val="00D31592"/>
    <w:rsid w:val="00D44DF7"/>
    <w:rsid w:val="00D45622"/>
    <w:rsid w:val="00D50387"/>
    <w:rsid w:val="00D55802"/>
    <w:rsid w:val="00D727D4"/>
    <w:rsid w:val="00D818B8"/>
    <w:rsid w:val="00D94A5C"/>
    <w:rsid w:val="00DA55A1"/>
    <w:rsid w:val="00DB2F8A"/>
    <w:rsid w:val="00DB5B29"/>
    <w:rsid w:val="00DB7E62"/>
    <w:rsid w:val="00DC1540"/>
    <w:rsid w:val="00DC4AFA"/>
    <w:rsid w:val="00DE1C54"/>
    <w:rsid w:val="00DE2C59"/>
    <w:rsid w:val="00DE5367"/>
    <w:rsid w:val="00DE5C1D"/>
    <w:rsid w:val="00DE6FC9"/>
    <w:rsid w:val="00DF0734"/>
    <w:rsid w:val="00DF48D2"/>
    <w:rsid w:val="00DF64B0"/>
    <w:rsid w:val="00DF7B8B"/>
    <w:rsid w:val="00E03B71"/>
    <w:rsid w:val="00E1498B"/>
    <w:rsid w:val="00E24C33"/>
    <w:rsid w:val="00E311E0"/>
    <w:rsid w:val="00E403D6"/>
    <w:rsid w:val="00E4324B"/>
    <w:rsid w:val="00E50E5B"/>
    <w:rsid w:val="00E5186F"/>
    <w:rsid w:val="00E63590"/>
    <w:rsid w:val="00E7165A"/>
    <w:rsid w:val="00E73E2B"/>
    <w:rsid w:val="00E760E2"/>
    <w:rsid w:val="00E80577"/>
    <w:rsid w:val="00E91E1F"/>
    <w:rsid w:val="00E9705D"/>
    <w:rsid w:val="00EC25CD"/>
    <w:rsid w:val="00EC2AAB"/>
    <w:rsid w:val="00EC422A"/>
    <w:rsid w:val="00ED2400"/>
    <w:rsid w:val="00ED794F"/>
    <w:rsid w:val="00EE2408"/>
    <w:rsid w:val="00EE29A3"/>
    <w:rsid w:val="00F055C8"/>
    <w:rsid w:val="00F056AB"/>
    <w:rsid w:val="00F106FC"/>
    <w:rsid w:val="00F138B9"/>
    <w:rsid w:val="00F21C6A"/>
    <w:rsid w:val="00F34B08"/>
    <w:rsid w:val="00F36625"/>
    <w:rsid w:val="00F37B3E"/>
    <w:rsid w:val="00F42BB3"/>
    <w:rsid w:val="00F523E4"/>
    <w:rsid w:val="00F5433A"/>
    <w:rsid w:val="00F56B66"/>
    <w:rsid w:val="00F57166"/>
    <w:rsid w:val="00F7025D"/>
    <w:rsid w:val="00F86BA2"/>
    <w:rsid w:val="00F877FC"/>
    <w:rsid w:val="00F978C0"/>
    <w:rsid w:val="00FA2FB6"/>
    <w:rsid w:val="00FA3559"/>
    <w:rsid w:val="00FA66D7"/>
    <w:rsid w:val="00FB0D84"/>
    <w:rsid w:val="00FC2085"/>
    <w:rsid w:val="00FC2113"/>
    <w:rsid w:val="00FC59C4"/>
    <w:rsid w:val="00FE1A1A"/>
    <w:rsid w:val="00FE4750"/>
    <w:rsid w:val="00FF0D80"/>
    <w:rsid w:val="00FF47AA"/>
    <w:rsid w:val="00FF6E4F"/>
    <w:rsid w:val="01100FE9"/>
    <w:rsid w:val="01191C13"/>
    <w:rsid w:val="01EB3CBC"/>
    <w:rsid w:val="024D75A3"/>
    <w:rsid w:val="02703344"/>
    <w:rsid w:val="02A864C2"/>
    <w:rsid w:val="02DA1E86"/>
    <w:rsid w:val="03431AE8"/>
    <w:rsid w:val="03E11716"/>
    <w:rsid w:val="03E12D9B"/>
    <w:rsid w:val="03EC70B7"/>
    <w:rsid w:val="04945B47"/>
    <w:rsid w:val="05575083"/>
    <w:rsid w:val="05AC1741"/>
    <w:rsid w:val="062D2B5E"/>
    <w:rsid w:val="067B6331"/>
    <w:rsid w:val="07A30D0F"/>
    <w:rsid w:val="07AF4ADF"/>
    <w:rsid w:val="07CF130B"/>
    <w:rsid w:val="08485972"/>
    <w:rsid w:val="08800554"/>
    <w:rsid w:val="08BC6F32"/>
    <w:rsid w:val="09556ADE"/>
    <w:rsid w:val="099C3602"/>
    <w:rsid w:val="09FD4271"/>
    <w:rsid w:val="0A88532C"/>
    <w:rsid w:val="0ABC3F07"/>
    <w:rsid w:val="0AE51E3F"/>
    <w:rsid w:val="0AED4922"/>
    <w:rsid w:val="0B3066EE"/>
    <w:rsid w:val="0B363B38"/>
    <w:rsid w:val="0B39066D"/>
    <w:rsid w:val="0B6A2CB6"/>
    <w:rsid w:val="0B946ED9"/>
    <w:rsid w:val="0BB43AE6"/>
    <w:rsid w:val="0BC2622C"/>
    <w:rsid w:val="0C355FA4"/>
    <w:rsid w:val="0C3670B2"/>
    <w:rsid w:val="0CA80B7D"/>
    <w:rsid w:val="0E590265"/>
    <w:rsid w:val="0E715904"/>
    <w:rsid w:val="0EC67A88"/>
    <w:rsid w:val="0F9A022A"/>
    <w:rsid w:val="0FA7294D"/>
    <w:rsid w:val="10451DFC"/>
    <w:rsid w:val="1075002D"/>
    <w:rsid w:val="10B4793E"/>
    <w:rsid w:val="114C175A"/>
    <w:rsid w:val="11511F9D"/>
    <w:rsid w:val="118024EE"/>
    <w:rsid w:val="12752AF1"/>
    <w:rsid w:val="12A60DDD"/>
    <w:rsid w:val="12C646C8"/>
    <w:rsid w:val="12C901C5"/>
    <w:rsid w:val="13907778"/>
    <w:rsid w:val="13DB4444"/>
    <w:rsid w:val="1589154B"/>
    <w:rsid w:val="17046E95"/>
    <w:rsid w:val="172906EA"/>
    <w:rsid w:val="17A3127B"/>
    <w:rsid w:val="186E19F3"/>
    <w:rsid w:val="18E0630A"/>
    <w:rsid w:val="18E3664C"/>
    <w:rsid w:val="18E63E3E"/>
    <w:rsid w:val="1A3F4DE6"/>
    <w:rsid w:val="1A8264FC"/>
    <w:rsid w:val="1B6F257E"/>
    <w:rsid w:val="1B716FBB"/>
    <w:rsid w:val="1B727610"/>
    <w:rsid w:val="1B804101"/>
    <w:rsid w:val="1BC83947"/>
    <w:rsid w:val="1C2536D2"/>
    <w:rsid w:val="1CAE5B75"/>
    <w:rsid w:val="1D5A1909"/>
    <w:rsid w:val="1DB22DDE"/>
    <w:rsid w:val="1ED44AD3"/>
    <w:rsid w:val="1FC96D0F"/>
    <w:rsid w:val="1FD945BD"/>
    <w:rsid w:val="202E1539"/>
    <w:rsid w:val="204D7006"/>
    <w:rsid w:val="219A3998"/>
    <w:rsid w:val="21BC6649"/>
    <w:rsid w:val="222F6B27"/>
    <w:rsid w:val="228A3D75"/>
    <w:rsid w:val="22C2536E"/>
    <w:rsid w:val="22F47DEA"/>
    <w:rsid w:val="23630038"/>
    <w:rsid w:val="239E41B8"/>
    <w:rsid w:val="23C30A9D"/>
    <w:rsid w:val="23E741E7"/>
    <w:rsid w:val="24081AA6"/>
    <w:rsid w:val="243B69B2"/>
    <w:rsid w:val="249B2393"/>
    <w:rsid w:val="24AF6E42"/>
    <w:rsid w:val="24C2331F"/>
    <w:rsid w:val="24DE7EB9"/>
    <w:rsid w:val="25DD476E"/>
    <w:rsid w:val="27052C39"/>
    <w:rsid w:val="272E2830"/>
    <w:rsid w:val="284453A2"/>
    <w:rsid w:val="287D509B"/>
    <w:rsid w:val="28D22DD9"/>
    <w:rsid w:val="29980D8D"/>
    <w:rsid w:val="29C44C04"/>
    <w:rsid w:val="29FB7BFF"/>
    <w:rsid w:val="2A8F7FEB"/>
    <w:rsid w:val="2AAC40CF"/>
    <w:rsid w:val="2B1703DC"/>
    <w:rsid w:val="2B2865BE"/>
    <w:rsid w:val="2B7D354C"/>
    <w:rsid w:val="2B8D6752"/>
    <w:rsid w:val="2B9E62E2"/>
    <w:rsid w:val="2C092A3E"/>
    <w:rsid w:val="2C9416A6"/>
    <w:rsid w:val="2C9E74B3"/>
    <w:rsid w:val="2CDA3A0C"/>
    <w:rsid w:val="2D56711E"/>
    <w:rsid w:val="2E172A86"/>
    <w:rsid w:val="2E475DBE"/>
    <w:rsid w:val="2E5F5F57"/>
    <w:rsid w:val="2FA97C20"/>
    <w:rsid w:val="30172682"/>
    <w:rsid w:val="30617AAD"/>
    <w:rsid w:val="30BD38E3"/>
    <w:rsid w:val="30C3426D"/>
    <w:rsid w:val="31197F04"/>
    <w:rsid w:val="31A65A6E"/>
    <w:rsid w:val="31FC5A85"/>
    <w:rsid w:val="325147CD"/>
    <w:rsid w:val="32C22D17"/>
    <w:rsid w:val="33993FD0"/>
    <w:rsid w:val="33D060BC"/>
    <w:rsid w:val="349B04BF"/>
    <w:rsid w:val="34AF4C53"/>
    <w:rsid w:val="34EB436D"/>
    <w:rsid w:val="34FB72CE"/>
    <w:rsid w:val="352E0DF1"/>
    <w:rsid w:val="35606A1A"/>
    <w:rsid w:val="358F428F"/>
    <w:rsid w:val="35FD214C"/>
    <w:rsid w:val="361360A8"/>
    <w:rsid w:val="36256CBB"/>
    <w:rsid w:val="36972B7D"/>
    <w:rsid w:val="36CF0262"/>
    <w:rsid w:val="36DF5473"/>
    <w:rsid w:val="378439DE"/>
    <w:rsid w:val="381003CB"/>
    <w:rsid w:val="384A74A4"/>
    <w:rsid w:val="384D13C9"/>
    <w:rsid w:val="385D4ED8"/>
    <w:rsid w:val="386B6E40"/>
    <w:rsid w:val="3917646E"/>
    <w:rsid w:val="392151C6"/>
    <w:rsid w:val="39383CA5"/>
    <w:rsid w:val="39CE47E2"/>
    <w:rsid w:val="3A19200D"/>
    <w:rsid w:val="3A4165FF"/>
    <w:rsid w:val="3AA67362"/>
    <w:rsid w:val="3B9612B8"/>
    <w:rsid w:val="3BE4341D"/>
    <w:rsid w:val="3BEE440A"/>
    <w:rsid w:val="3C382CBB"/>
    <w:rsid w:val="3D9341F0"/>
    <w:rsid w:val="3E1C3630"/>
    <w:rsid w:val="3E54041D"/>
    <w:rsid w:val="3EB53037"/>
    <w:rsid w:val="3EBF4D3A"/>
    <w:rsid w:val="3F337402"/>
    <w:rsid w:val="3F8A0E7B"/>
    <w:rsid w:val="3FD72951"/>
    <w:rsid w:val="404E3A02"/>
    <w:rsid w:val="404F1C28"/>
    <w:rsid w:val="40E03E16"/>
    <w:rsid w:val="41253B4E"/>
    <w:rsid w:val="413E5700"/>
    <w:rsid w:val="416900F2"/>
    <w:rsid w:val="4198465E"/>
    <w:rsid w:val="41E741A9"/>
    <w:rsid w:val="41F24FBD"/>
    <w:rsid w:val="42D21110"/>
    <w:rsid w:val="42DF095F"/>
    <w:rsid w:val="43604397"/>
    <w:rsid w:val="43637208"/>
    <w:rsid w:val="43F97F29"/>
    <w:rsid w:val="442660E6"/>
    <w:rsid w:val="4464777B"/>
    <w:rsid w:val="45154B5D"/>
    <w:rsid w:val="45653C13"/>
    <w:rsid w:val="456B3E9E"/>
    <w:rsid w:val="457E7E5B"/>
    <w:rsid w:val="460C44EF"/>
    <w:rsid w:val="465F116D"/>
    <w:rsid w:val="46D60601"/>
    <w:rsid w:val="46FF4928"/>
    <w:rsid w:val="476E6F9B"/>
    <w:rsid w:val="47B40D01"/>
    <w:rsid w:val="48CB063F"/>
    <w:rsid w:val="48F36874"/>
    <w:rsid w:val="490B70C0"/>
    <w:rsid w:val="495278D1"/>
    <w:rsid w:val="497B0F86"/>
    <w:rsid w:val="499047DD"/>
    <w:rsid w:val="4A4A2B62"/>
    <w:rsid w:val="4A690292"/>
    <w:rsid w:val="4AA34D0F"/>
    <w:rsid w:val="4ABC7021"/>
    <w:rsid w:val="4B035FC7"/>
    <w:rsid w:val="4BDA7054"/>
    <w:rsid w:val="4BDF1317"/>
    <w:rsid w:val="4BFD2D49"/>
    <w:rsid w:val="4C3A1B07"/>
    <w:rsid w:val="4CEF3B58"/>
    <w:rsid w:val="4D1F2182"/>
    <w:rsid w:val="4D99787E"/>
    <w:rsid w:val="4E693B71"/>
    <w:rsid w:val="4EB031D2"/>
    <w:rsid w:val="4EBB2FF0"/>
    <w:rsid w:val="4F166208"/>
    <w:rsid w:val="4F8C1480"/>
    <w:rsid w:val="4FCA455F"/>
    <w:rsid w:val="4FF43B54"/>
    <w:rsid w:val="50124EBD"/>
    <w:rsid w:val="501F5A50"/>
    <w:rsid w:val="50C276BE"/>
    <w:rsid w:val="5142646B"/>
    <w:rsid w:val="51CB2092"/>
    <w:rsid w:val="52006AF0"/>
    <w:rsid w:val="52392339"/>
    <w:rsid w:val="52B60DC9"/>
    <w:rsid w:val="52B822B1"/>
    <w:rsid w:val="532B48E6"/>
    <w:rsid w:val="53545F3C"/>
    <w:rsid w:val="53715ED6"/>
    <w:rsid w:val="53BB7CF6"/>
    <w:rsid w:val="53CD7561"/>
    <w:rsid w:val="53E2646E"/>
    <w:rsid w:val="54C706AC"/>
    <w:rsid w:val="54E463D5"/>
    <w:rsid w:val="551726BE"/>
    <w:rsid w:val="55551D52"/>
    <w:rsid w:val="56CE77A4"/>
    <w:rsid w:val="571C64A4"/>
    <w:rsid w:val="581F1D31"/>
    <w:rsid w:val="58491E15"/>
    <w:rsid w:val="586078BC"/>
    <w:rsid w:val="589A2970"/>
    <w:rsid w:val="59264F6C"/>
    <w:rsid w:val="59CF6D09"/>
    <w:rsid w:val="59F8695A"/>
    <w:rsid w:val="5AB80CD0"/>
    <w:rsid w:val="5ABC691E"/>
    <w:rsid w:val="5AEB0314"/>
    <w:rsid w:val="5B544EF7"/>
    <w:rsid w:val="5BA57A49"/>
    <w:rsid w:val="5BDD53F7"/>
    <w:rsid w:val="5C9522CF"/>
    <w:rsid w:val="5CB86ECE"/>
    <w:rsid w:val="5D062C4A"/>
    <w:rsid w:val="5D5C0182"/>
    <w:rsid w:val="5E3A7F8E"/>
    <w:rsid w:val="5E49314B"/>
    <w:rsid w:val="5E8B5B3B"/>
    <w:rsid w:val="5F2D731E"/>
    <w:rsid w:val="5F50798C"/>
    <w:rsid w:val="5FDB57F2"/>
    <w:rsid w:val="6019117B"/>
    <w:rsid w:val="603330D3"/>
    <w:rsid w:val="608162CD"/>
    <w:rsid w:val="60F151D9"/>
    <w:rsid w:val="632935E3"/>
    <w:rsid w:val="63C004F8"/>
    <w:rsid w:val="645C37EA"/>
    <w:rsid w:val="64F14E9B"/>
    <w:rsid w:val="652F43E0"/>
    <w:rsid w:val="655178B8"/>
    <w:rsid w:val="66452A5B"/>
    <w:rsid w:val="67245A94"/>
    <w:rsid w:val="672709D8"/>
    <w:rsid w:val="673A3822"/>
    <w:rsid w:val="67FF48A5"/>
    <w:rsid w:val="6847019A"/>
    <w:rsid w:val="68AF019B"/>
    <w:rsid w:val="68CC3E62"/>
    <w:rsid w:val="691368DA"/>
    <w:rsid w:val="69B33E23"/>
    <w:rsid w:val="69B44745"/>
    <w:rsid w:val="69E06E03"/>
    <w:rsid w:val="69FB1AD3"/>
    <w:rsid w:val="6AAA403F"/>
    <w:rsid w:val="6B473BF9"/>
    <w:rsid w:val="6B917302"/>
    <w:rsid w:val="6BED4F56"/>
    <w:rsid w:val="6BEE51DB"/>
    <w:rsid w:val="6C6528B5"/>
    <w:rsid w:val="6C961412"/>
    <w:rsid w:val="6CFE52E5"/>
    <w:rsid w:val="6D645E9F"/>
    <w:rsid w:val="6DD87DAB"/>
    <w:rsid w:val="6E3A1415"/>
    <w:rsid w:val="6E3B0461"/>
    <w:rsid w:val="6E46284C"/>
    <w:rsid w:val="6E4928E6"/>
    <w:rsid w:val="6E9664B2"/>
    <w:rsid w:val="6EF840EC"/>
    <w:rsid w:val="6F0F3400"/>
    <w:rsid w:val="6F332041"/>
    <w:rsid w:val="6F383521"/>
    <w:rsid w:val="6F5E1FBB"/>
    <w:rsid w:val="6FD0035F"/>
    <w:rsid w:val="70137330"/>
    <w:rsid w:val="71383AD9"/>
    <w:rsid w:val="717A6AF7"/>
    <w:rsid w:val="71E9504D"/>
    <w:rsid w:val="71FC68EA"/>
    <w:rsid w:val="72136D90"/>
    <w:rsid w:val="72454F16"/>
    <w:rsid w:val="726522CE"/>
    <w:rsid w:val="73034619"/>
    <w:rsid w:val="734F24D9"/>
    <w:rsid w:val="73881867"/>
    <w:rsid w:val="73B41761"/>
    <w:rsid w:val="7446527E"/>
    <w:rsid w:val="744824B0"/>
    <w:rsid w:val="747307AC"/>
    <w:rsid w:val="74CE6868"/>
    <w:rsid w:val="75A72185"/>
    <w:rsid w:val="75DD289D"/>
    <w:rsid w:val="75DE7090"/>
    <w:rsid w:val="765B2530"/>
    <w:rsid w:val="765C3851"/>
    <w:rsid w:val="766433C2"/>
    <w:rsid w:val="768635D1"/>
    <w:rsid w:val="77285CDF"/>
    <w:rsid w:val="77405DDB"/>
    <w:rsid w:val="78020200"/>
    <w:rsid w:val="797437D4"/>
    <w:rsid w:val="79994410"/>
    <w:rsid w:val="79A9786F"/>
    <w:rsid w:val="79D2472F"/>
    <w:rsid w:val="79DA2EFB"/>
    <w:rsid w:val="7A3A623B"/>
    <w:rsid w:val="7AC001C9"/>
    <w:rsid w:val="7AEE5A4E"/>
    <w:rsid w:val="7AFE67BD"/>
    <w:rsid w:val="7B43047D"/>
    <w:rsid w:val="7C0263CB"/>
    <w:rsid w:val="7C0C4D4E"/>
    <w:rsid w:val="7C3037E8"/>
    <w:rsid w:val="7C99129A"/>
    <w:rsid w:val="7D5D61BE"/>
    <w:rsid w:val="7D9A44DD"/>
    <w:rsid w:val="7DAD4F73"/>
    <w:rsid w:val="7E62598A"/>
    <w:rsid w:val="7EB30603"/>
    <w:rsid w:val="7EC2423A"/>
    <w:rsid w:val="7F4E7395"/>
    <w:rsid w:val="7F552DA0"/>
    <w:rsid w:val="7FA064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21"/>
    <w:qFormat/>
    <w:uiPriority w:val="0"/>
    <w:pPr>
      <w:keepNext/>
      <w:keepLines/>
      <w:spacing w:beforeLines="0" w:beforeAutospacing="0" w:afterLines="0" w:afterAutospacing="0" w:line="360" w:lineRule="auto"/>
      <w:ind w:firstLine="803" w:firstLineChars="200"/>
      <w:outlineLvl w:val="0"/>
    </w:pPr>
    <w:rPr>
      <w:rFonts w:ascii="Calibri" w:hAnsi="Calibri" w:eastAsia="黑体"/>
      <w:b/>
      <w:kern w:val="44"/>
      <w:sz w:val="28"/>
    </w:rPr>
  </w:style>
  <w:style w:type="paragraph" w:styleId="4">
    <w:name w:val="heading 2"/>
    <w:basedOn w:val="1"/>
    <w:next w:val="1"/>
    <w:qFormat/>
    <w:uiPriority w:val="0"/>
    <w:pPr>
      <w:keepNext/>
      <w:keepLines/>
      <w:spacing w:beforeLines="0" w:beforeAutospacing="0" w:afterLines="0" w:afterAutospacing="0" w:line="360" w:lineRule="auto"/>
      <w:ind w:firstLine="803" w:firstLineChars="200"/>
      <w:outlineLvl w:val="1"/>
    </w:pPr>
    <w:rPr>
      <w:rFonts w:ascii="Arial" w:hAnsi="Arial" w:eastAsia="黑体"/>
      <w:b/>
      <w:sz w:val="24"/>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widowControl/>
      <w:spacing w:after="120"/>
      <w:ind w:left="1440" w:right="1440"/>
    </w:pPr>
    <w:rPr>
      <w:rFonts w:ascii="Garamond" w:hAnsi="Garamond" w:eastAsia="Times New Roman" w:cs="宋体"/>
      <w:spacing w:val="-2"/>
      <w:kern w:val="1"/>
      <w:sz w:val="24"/>
      <w:szCs w:val="22"/>
      <w:lang w:val="en-US" w:eastAsia="zh-CN" w:bidi="ar-SA"/>
    </w:rPr>
  </w:style>
  <w:style w:type="paragraph" w:styleId="5">
    <w:name w:val="annotation text"/>
    <w:basedOn w:val="1"/>
    <w:qFormat/>
    <w:uiPriority w:val="0"/>
    <w:pPr>
      <w:jc w:val="left"/>
    </w:pPr>
  </w:style>
  <w:style w:type="paragraph" w:styleId="6">
    <w:name w:val="Body Text Indent"/>
    <w:basedOn w:val="1"/>
    <w:semiHidden/>
    <w:qFormat/>
    <w:uiPriority w:val="0"/>
    <w:pPr>
      <w:spacing w:before="100" w:beforeAutospacing="1" w:after="100" w:afterAutospacing="1" w:line="360" w:lineRule="auto"/>
      <w:ind w:firstLine="480" w:firstLineChars="200"/>
    </w:pPr>
    <w:rPr>
      <w:rFonts w:ascii="仿宋_GB2312" w:eastAsia="仿宋_GB2312"/>
      <w:sz w:val="24"/>
      <w:szCs w:val="20"/>
    </w:rPr>
  </w:style>
  <w:style w:type="paragraph" w:styleId="7">
    <w:name w:val="toc 3"/>
    <w:basedOn w:val="1"/>
    <w:next w:val="1"/>
    <w:unhideWhenUsed/>
    <w:qFormat/>
    <w:uiPriority w:val="39"/>
    <w:pPr>
      <w:ind w:left="840" w:leftChars="400"/>
    </w:pPr>
  </w:style>
  <w:style w:type="paragraph" w:styleId="8">
    <w:name w:val="Date"/>
    <w:basedOn w:val="1"/>
    <w:next w:val="1"/>
    <w:link w:val="22"/>
    <w:unhideWhenUsed/>
    <w:qFormat/>
    <w:uiPriority w:val="99"/>
    <w:pPr>
      <w:ind w:left="100" w:leftChars="2500"/>
    </w:pPr>
  </w:style>
  <w:style w:type="paragraph" w:styleId="9">
    <w:name w:val="Balloon Text"/>
    <w:basedOn w:val="1"/>
    <w:link w:val="23"/>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Subtitle"/>
    <w:basedOn w:val="1"/>
    <w:next w:val="1"/>
    <w:link w:val="26"/>
    <w:qFormat/>
    <w:uiPriority w:val="11"/>
    <w:pPr>
      <w:spacing w:before="240" w:after="60" w:line="312" w:lineRule="auto"/>
      <w:jc w:val="center"/>
      <w:outlineLvl w:val="1"/>
    </w:pPr>
    <w:rPr>
      <w:rFonts w:ascii="Calibri Light" w:hAnsi="Calibri Light"/>
      <w:b/>
      <w:bCs/>
      <w:kern w:val="28"/>
      <w:sz w:val="32"/>
      <w:szCs w:val="32"/>
    </w:rPr>
  </w:style>
  <w:style w:type="paragraph" w:styleId="14">
    <w:name w:val="toc 2"/>
    <w:basedOn w:val="1"/>
    <w:next w:val="1"/>
    <w:qFormat/>
    <w:uiPriority w:val="39"/>
    <w:pPr>
      <w:ind w:leftChars="200"/>
    </w:p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Hyperlink"/>
    <w:unhideWhenUsed/>
    <w:qFormat/>
    <w:uiPriority w:val="99"/>
    <w:rPr>
      <w:color w:val="0000FF"/>
      <w:u w:val="single"/>
    </w:rPr>
  </w:style>
  <w:style w:type="character" w:customStyle="1" w:styleId="21">
    <w:name w:val="标题 1 Char"/>
    <w:link w:val="3"/>
    <w:qFormat/>
    <w:uiPriority w:val="0"/>
    <w:rPr>
      <w:rFonts w:ascii="Calibri" w:hAnsi="Calibri" w:eastAsia="黑体"/>
      <w:b/>
      <w:kern w:val="44"/>
      <w:sz w:val="28"/>
    </w:rPr>
  </w:style>
  <w:style w:type="character" w:customStyle="1" w:styleId="22">
    <w:name w:val="日期 Char"/>
    <w:link w:val="8"/>
    <w:semiHidden/>
    <w:qFormat/>
    <w:uiPriority w:val="99"/>
  </w:style>
  <w:style w:type="character" w:customStyle="1" w:styleId="23">
    <w:name w:val="批注框文本 Char"/>
    <w:link w:val="9"/>
    <w:semiHidden/>
    <w:qFormat/>
    <w:uiPriority w:val="99"/>
    <w:rPr>
      <w:kern w:val="2"/>
      <w:sz w:val="18"/>
      <w:szCs w:val="18"/>
    </w:rPr>
  </w:style>
  <w:style w:type="character" w:customStyle="1" w:styleId="24">
    <w:name w:val="页脚 Char"/>
    <w:link w:val="10"/>
    <w:qFormat/>
    <w:uiPriority w:val="99"/>
    <w:rPr>
      <w:kern w:val="2"/>
      <w:sz w:val="18"/>
      <w:szCs w:val="18"/>
    </w:rPr>
  </w:style>
  <w:style w:type="character" w:customStyle="1" w:styleId="25">
    <w:name w:val="页眉 Char"/>
    <w:link w:val="11"/>
    <w:qFormat/>
    <w:locked/>
    <w:uiPriority w:val="0"/>
    <w:rPr>
      <w:rFonts w:eastAsia="宋体"/>
      <w:kern w:val="2"/>
      <w:sz w:val="18"/>
      <w:szCs w:val="18"/>
      <w:lang w:val="en-US" w:eastAsia="zh-CN" w:bidi="ar-SA"/>
    </w:rPr>
  </w:style>
  <w:style w:type="character" w:customStyle="1" w:styleId="26">
    <w:name w:val="副标题 Char"/>
    <w:link w:val="13"/>
    <w:qFormat/>
    <w:uiPriority w:val="11"/>
    <w:rPr>
      <w:rFonts w:ascii="Calibri Light" w:hAnsi="Calibri Light"/>
      <w:b/>
      <w:bCs/>
      <w:kern w:val="28"/>
      <w:sz w:val="32"/>
      <w:szCs w:val="32"/>
    </w:rPr>
  </w:style>
  <w:style w:type="character" w:customStyle="1" w:styleId="27">
    <w:name w:val="font01"/>
    <w:qFormat/>
    <w:uiPriority w:val="0"/>
    <w:rPr>
      <w:rFonts w:hint="eastAsia" w:ascii="宋体" w:hAnsi="宋体" w:eastAsia="宋体" w:cs="宋体"/>
      <w:color w:val="000000"/>
      <w:sz w:val="18"/>
      <w:szCs w:val="18"/>
      <w:u w:val="none"/>
    </w:rPr>
  </w:style>
  <w:style w:type="character" w:customStyle="1" w:styleId="28">
    <w:name w:val="font122"/>
    <w:qFormat/>
    <w:uiPriority w:val="0"/>
    <w:rPr>
      <w:rFonts w:hint="eastAsia" w:ascii="宋体" w:hAnsi="宋体" w:eastAsia="宋体" w:cs="宋体"/>
      <w:b/>
      <w:color w:val="000000"/>
      <w:sz w:val="22"/>
      <w:szCs w:val="22"/>
      <w:u w:val="none"/>
    </w:rPr>
  </w:style>
  <w:style w:type="character" w:customStyle="1" w:styleId="29">
    <w:name w:val="font161"/>
    <w:qFormat/>
    <w:uiPriority w:val="0"/>
    <w:rPr>
      <w:rFonts w:hint="default" w:ascii="Times New Roman" w:hAnsi="Times New Roman" w:cs="Times New Roman"/>
      <w:color w:val="000000"/>
      <w:sz w:val="18"/>
      <w:szCs w:val="18"/>
      <w:u w:val="none"/>
    </w:rPr>
  </w:style>
  <w:style w:type="character" w:customStyle="1" w:styleId="30">
    <w:name w:val="font101"/>
    <w:qFormat/>
    <w:uiPriority w:val="0"/>
    <w:rPr>
      <w:rFonts w:hint="eastAsia" w:ascii="宋体" w:hAnsi="宋体" w:eastAsia="宋体" w:cs="宋体"/>
      <w:color w:val="000000"/>
      <w:sz w:val="12"/>
      <w:szCs w:val="12"/>
      <w:u w:val="none"/>
    </w:rPr>
  </w:style>
  <w:style w:type="character" w:customStyle="1" w:styleId="31">
    <w:name w:val="font91"/>
    <w:qFormat/>
    <w:uiPriority w:val="0"/>
    <w:rPr>
      <w:rFonts w:hint="eastAsia" w:ascii="宋体" w:hAnsi="宋体" w:eastAsia="宋体" w:cs="宋体"/>
      <w:color w:val="000000"/>
      <w:sz w:val="12"/>
      <w:szCs w:val="12"/>
      <w:u w:val="none"/>
    </w:rPr>
  </w:style>
  <w:style w:type="character" w:customStyle="1" w:styleId="32">
    <w:name w:val="font61"/>
    <w:qFormat/>
    <w:uiPriority w:val="0"/>
    <w:rPr>
      <w:rFonts w:hint="eastAsia" w:ascii="宋体" w:hAnsi="宋体" w:eastAsia="宋体" w:cs="宋体"/>
      <w:b/>
      <w:color w:val="000000"/>
      <w:sz w:val="18"/>
      <w:szCs w:val="18"/>
      <w:u w:val="none"/>
    </w:rPr>
  </w:style>
  <w:style w:type="character" w:customStyle="1" w:styleId="33">
    <w:name w:val="font151"/>
    <w:qFormat/>
    <w:uiPriority w:val="0"/>
    <w:rPr>
      <w:rFonts w:hint="default" w:ascii="Times New Roman" w:hAnsi="Times New Roman" w:cs="Times New Roman"/>
      <w:color w:val="000000"/>
      <w:sz w:val="12"/>
      <w:szCs w:val="12"/>
      <w:u w:val="none"/>
    </w:rPr>
  </w:style>
  <w:style w:type="character" w:customStyle="1" w:styleId="34">
    <w:name w:val="font181"/>
    <w:qFormat/>
    <w:uiPriority w:val="0"/>
    <w:rPr>
      <w:rFonts w:hint="eastAsia" w:ascii="宋体" w:hAnsi="宋体" w:eastAsia="宋体" w:cs="宋体"/>
      <w:b/>
      <w:color w:val="000000"/>
      <w:sz w:val="18"/>
      <w:szCs w:val="18"/>
      <w:u w:val="none"/>
    </w:rPr>
  </w:style>
  <w:style w:type="character" w:customStyle="1" w:styleId="35">
    <w:name w:val="font31"/>
    <w:qFormat/>
    <w:uiPriority w:val="0"/>
    <w:rPr>
      <w:rFonts w:hint="default" w:ascii="Times New Roman" w:hAnsi="Times New Roman" w:cs="Times New Roman"/>
      <w:color w:val="000000"/>
      <w:sz w:val="18"/>
      <w:szCs w:val="18"/>
      <w:u w:val="none"/>
    </w:rPr>
  </w:style>
  <w:style w:type="character" w:customStyle="1" w:styleId="36">
    <w:name w:val="font11"/>
    <w:qFormat/>
    <w:uiPriority w:val="0"/>
    <w:rPr>
      <w:rFonts w:hint="default" w:ascii="Times New Roman" w:hAnsi="Times New Roman" w:cs="Times New Roman"/>
      <w:color w:val="000000"/>
      <w:sz w:val="18"/>
      <w:szCs w:val="18"/>
      <w:u w:val="none"/>
    </w:rPr>
  </w:style>
  <w:style w:type="character" w:customStyle="1" w:styleId="37">
    <w:name w:val="font71"/>
    <w:qFormat/>
    <w:uiPriority w:val="0"/>
    <w:rPr>
      <w:rFonts w:hint="eastAsia" w:ascii="宋体" w:hAnsi="宋体" w:eastAsia="宋体" w:cs="宋体"/>
      <w:color w:val="000000"/>
      <w:sz w:val="18"/>
      <w:szCs w:val="18"/>
      <w:u w:val="none"/>
    </w:rPr>
  </w:style>
  <w:style w:type="character" w:customStyle="1" w:styleId="38">
    <w:name w:val="font201"/>
    <w:qFormat/>
    <w:uiPriority w:val="0"/>
    <w:rPr>
      <w:rFonts w:hint="default" w:ascii="Times New Roman" w:hAnsi="Times New Roman" w:cs="Times New Roman"/>
      <w:color w:val="000000"/>
      <w:sz w:val="12"/>
      <w:szCs w:val="12"/>
      <w:u w:val="none"/>
    </w:rPr>
  </w:style>
  <w:style w:type="paragraph" w:customStyle="1" w:styleId="39">
    <w:name w:val="2"/>
    <w:basedOn w:val="1"/>
    <w:qFormat/>
    <w:uiPriority w:val="0"/>
    <w:pPr>
      <w:spacing w:beforeLines="50" w:afterLines="50" w:line="400" w:lineRule="exact"/>
      <w:ind w:firstLine="562" w:firstLineChars="200"/>
    </w:pPr>
    <w:rPr>
      <w:rFonts w:ascii="宋体" w:hAnsi="宋体"/>
      <w:b/>
      <w:sz w:val="28"/>
    </w:rPr>
  </w:style>
  <w:style w:type="paragraph" w:styleId="40">
    <w:name w:val="List Paragraph"/>
    <w:basedOn w:val="1"/>
    <w:qFormat/>
    <w:uiPriority w:val="34"/>
    <w:pPr>
      <w:ind w:firstLine="420" w:firstLineChars="200"/>
    </w:pPr>
  </w:style>
  <w:style w:type="paragraph" w:customStyle="1" w:styleId="41">
    <w:name w:val="标准正文"/>
    <w:basedOn w:val="1"/>
    <w:qFormat/>
    <w:uiPriority w:val="0"/>
    <w:pPr>
      <w:spacing w:line="360" w:lineRule="auto"/>
      <w:ind w:firstLine="200" w:firstLineChars="200"/>
      <w:jc w:val="left"/>
    </w:pPr>
    <w:rPr>
      <w:sz w:val="24"/>
    </w:rPr>
  </w:style>
  <w:style w:type="character" w:customStyle="1" w:styleId="42">
    <w:name w:val="font81"/>
    <w:qFormat/>
    <w:uiPriority w:val="0"/>
    <w:rPr>
      <w:rFonts w:hint="eastAsia" w:ascii="宋体" w:hAnsi="宋体" w:eastAsia="宋体" w:cs="宋体"/>
      <w:color w:val="000000"/>
      <w:sz w:val="18"/>
      <w:szCs w:val="18"/>
      <w:u w:val="none"/>
    </w:rPr>
  </w:style>
  <w:style w:type="character" w:customStyle="1" w:styleId="43">
    <w:name w:val="font111"/>
    <w:qFormat/>
    <w:uiPriority w:val="0"/>
    <w:rPr>
      <w:rFonts w:hint="default" w:ascii="Times New Roman" w:hAnsi="Times New Roman" w:cs="Times New Roman"/>
      <w:color w:val="000000"/>
      <w:sz w:val="18"/>
      <w:szCs w:val="18"/>
      <w:u w:val="none"/>
    </w:rPr>
  </w:style>
  <w:style w:type="character" w:customStyle="1" w:styleId="44">
    <w:name w:val="font191"/>
    <w:qFormat/>
    <w:uiPriority w:val="0"/>
    <w:rPr>
      <w:rFonts w:hint="eastAsia" w:ascii="宋体" w:hAnsi="宋体" w:eastAsia="宋体" w:cs="宋体"/>
      <w:b/>
      <w:bCs/>
      <w:color w:val="000000"/>
      <w:sz w:val="18"/>
      <w:szCs w:val="18"/>
      <w:u w:val="none"/>
    </w:rPr>
  </w:style>
  <w:style w:type="character" w:customStyle="1" w:styleId="45">
    <w:name w:val="font41"/>
    <w:qFormat/>
    <w:uiPriority w:val="0"/>
    <w:rPr>
      <w:rFonts w:hint="default" w:ascii="Times New Roman" w:hAnsi="Times New Roman" w:cs="Times New Roman"/>
      <w:color w:val="000000"/>
      <w:sz w:val="18"/>
      <w:szCs w:val="18"/>
      <w:u w:val="none"/>
    </w:rPr>
  </w:style>
  <w:style w:type="character" w:customStyle="1" w:styleId="46">
    <w:name w:val="font131"/>
    <w:qFormat/>
    <w:uiPriority w:val="0"/>
    <w:rPr>
      <w:rFonts w:hint="eastAsia" w:ascii="宋体" w:hAnsi="宋体" w:eastAsia="宋体" w:cs="宋体"/>
      <w:color w:val="000000"/>
      <w:sz w:val="12"/>
      <w:szCs w:val="12"/>
      <w:u w:val="none"/>
    </w:rPr>
  </w:style>
  <w:style w:type="character" w:customStyle="1" w:styleId="47">
    <w:name w:val="font141"/>
    <w:qFormat/>
    <w:uiPriority w:val="0"/>
    <w:rPr>
      <w:rFonts w:hint="default" w:ascii="Times New Roman" w:hAnsi="Times New Roman" w:cs="Times New Roman"/>
      <w:color w:val="000000"/>
      <w:sz w:val="12"/>
      <w:szCs w:val="12"/>
      <w:u w:val="none"/>
    </w:rPr>
  </w:style>
  <w:style w:type="character" w:customStyle="1" w:styleId="48">
    <w:name w:val="font121"/>
    <w:qFormat/>
    <w:uiPriority w:val="0"/>
    <w:rPr>
      <w:rFonts w:hint="eastAsia" w:ascii="宋体" w:hAnsi="宋体" w:eastAsia="宋体" w:cs="宋体"/>
      <w:color w:val="000000"/>
      <w:sz w:val="12"/>
      <w:szCs w:val="12"/>
      <w:u w:val="none"/>
    </w:rPr>
  </w:style>
  <w:style w:type="character" w:customStyle="1" w:styleId="49">
    <w:name w:val="font132"/>
    <w:qFormat/>
    <w:uiPriority w:val="0"/>
    <w:rPr>
      <w:rFonts w:hint="eastAsia" w:ascii="宋体" w:hAnsi="宋体" w:eastAsia="宋体" w:cs="宋体"/>
      <w:color w:val="000000"/>
      <w:sz w:val="12"/>
      <w:szCs w:val="12"/>
      <w:u w:val="none"/>
    </w:rPr>
  </w:style>
  <w:style w:type="paragraph" w:customStyle="1" w:styleId="50">
    <w:name w:val="5"/>
    <w:basedOn w:val="51"/>
    <w:semiHidden/>
    <w:qFormat/>
    <w:uiPriority w:val="0"/>
    <w:pPr>
      <w:jc w:val="center"/>
    </w:pPr>
    <w:rPr>
      <w:rFonts w:ascii="宋体" w:hAnsi="宋体"/>
      <w:sz w:val="18"/>
      <w:szCs w:val="18"/>
    </w:rPr>
  </w:style>
  <w:style w:type="paragraph" w:customStyle="1" w:styleId="51">
    <w:name w:val="z"/>
    <w:basedOn w:val="1"/>
    <w:qFormat/>
    <w:uiPriority w:val="0"/>
    <w:pPr>
      <w:spacing w:line="400" w:lineRule="exact"/>
      <w:ind w:firstLine="480" w:firstLineChars="200"/>
    </w:pPr>
    <w:rPr>
      <w:sz w:val="24"/>
    </w:rPr>
  </w:style>
  <w:style w:type="character" w:customStyle="1" w:styleId="52">
    <w:name w:val="font112"/>
    <w:qFormat/>
    <w:uiPriority w:val="0"/>
    <w:rPr>
      <w:rFonts w:hint="default" w:ascii="Times New Roman" w:hAnsi="Times New Roman" w:cs="Times New Roman"/>
      <w:color w:val="000000"/>
      <w:sz w:val="18"/>
      <w:szCs w:val="18"/>
      <w:u w:val="none"/>
    </w:rPr>
  </w:style>
  <w:style w:type="character" w:customStyle="1" w:styleId="53">
    <w:name w:val="font142"/>
    <w:qFormat/>
    <w:uiPriority w:val="0"/>
    <w:rPr>
      <w:rFonts w:hint="default" w:ascii="Times New Roman" w:hAnsi="Times New Roman" w:cs="Times New Roman"/>
      <w:color w:val="000000"/>
      <w:sz w:val="12"/>
      <w:szCs w:val="12"/>
      <w:u w:val="none"/>
    </w:rPr>
  </w:style>
  <w:style w:type="character" w:customStyle="1" w:styleId="54">
    <w:name w:val="font51"/>
    <w:qFormat/>
    <w:uiPriority w:val="0"/>
    <w:rPr>
      <w:rFonts w:hint="eastAsia" w:ascii="宋体" w:hAnsi="宋体" w:eastAsia="宋体" w:cs="宋体"/>
      <w:b/>
      <w:bCs/>
      <w:color w:val="000000"/>
      <w:sz w:val="18"/>
      <w:szCs w:val="18"/>
      <w:u w:val="none"/>
    </w:rPr>
  </w:style>
  <w:style w:type="character" w:customStyle="1" w:styleId="55">
    <w:name w:val="font221"/>
    <w:qFormat/>
    <w:uiPriority w:val="0"/>
    <w:rPr>
      <w:rFonts w:hint="eastAsia" w:ascii="宋体" w:hAnsi="宋体" w:eastAsia="宋体" w:cs="宋体"/>
      <w:b/>
      <w:bCs/>
      <w:color w:val="000000"/>
      <w:sz w:val="18"/>
      <w:szCs w:val="18"/>
      <w:u w:val="none"/>
    </w:rPr>
  </w:style>
  <w:style w:type="character" w:customStyle="1" w:styleId="56">
    <w:name w:val="font171"/>
    <w:qFormat/>
    <w:uiPriority w:val="0"/>
    <w:rPr>
      <w:rFonts w:hint="eastAsia" w:ascii="宋体" w:hAnsi="宋体" w:eastAsia="宋体" w:cs="宋体"/>
      <w:color w:val="000000"/>
      <w:sz w:val="12"/>
      <w:szCs w:val="12"/>
      <w:u w:val="none"/>
    </w:rPr>
  </w:style>
  <w:style w:type="paragraph" w:customStyle="1" w:styleId="57">
    <w:name w:val="6"/>
    <w:basedOn w:val="1"/>
    <w:qFormat/>
    <w:uiPriority w:val="99"/>
    <w:pPr>
      <w:ind w:firstLine="360"/>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21407</Words>
  <Characters>21947</Characters>
  <Lines>189</Lines>
  <Paragraphs>53</Paragraphs>
  <TotalTime>4</TotalTime>
  <ScaleCrop>false</ScaleCrop>
  <LinksUpToDate>false</LinksUpToDate>
  <CharactersWithSpaces>22103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2020-06-01T03:29:00Z</dcterms:created>
  <dc:creator>xb21cn</dc:creator>
  <cp:lastModifiedBy>安徽审计王家明</cp:lastModifiedBy>
  <cp:lastPrinted>2021-01-20T02:38:00Z</cp:lastPrinted>
  <dcterms:modified xsi:type="dcterms:W3CDTF">2022-08-08T02:03:21Z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6D00F6E35E164755A94401419B680C63</vt:lpwstr>
  </property>
  <property fmtid="{D5CDD505-2E9C-101B-9397-08002B2CF9AE}" pid="4" name="commondata">
    <vt:lpwstr>eyJoZGlkIjoiODY4NDdjYWI3Y2ZjZjFjNDQ5ZTdiMzg0MjlkMjY1N2EifQ==</vt:lpwstr>
  </property>
</Properties>
</file>