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11"/>
        </w:tabs>
        <w:rPr>
          <w:rFonts w:hint="eastAsia" w:eastAsia="宋体"/>
          <w:sz w:val="32"/>
          <w:szCs w:val="32"/>
          <w:u w:val="none"/>
          <w:lang w:eastAsia="zh-CN"/>
        </w:rPr>
      </w:pPr>
      <w:r>
        <w:rPr>
          <w:sz w:val="32"/>
          <w:szCs w:val="32"/>
          <w:u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sz w:val="32"/>
          <w:szCs w:val="32"/>
          <w:u w:val="none"/>
          <w:lang w:eastAsia="zh-CN"/>
        </w:rPr>
        <w:instrText xml:space="preserve">ADDIN CNKISM.UserStyle</w:instrText>
      </w:r>
      <w:r>
        <w:rPr>
          <w:sz w:val="32"/>
          <w:szCs w:val="32"/>
          <w:u w:val="none"/>
        </w:rPr>
        <w:fldChar w:fldCharType="separate"/>
      </w:r>
      <w:r>
        <w:rPr>
          <w:sz w:val="32"/>
          <w:szCs w:val="32"/>
          <w:u w:val="none"/>
        </w:rPr>
        <w:fldChar w:fldCharType="end"/>
      </w:r>
    </w:p>
    <w:p>
      <w:pPr>
        <w:ind w:firstLine="482"/>
        <w:jc w:val="center"/>
        <w:rPr>
          <w:sz w:val="36"/>
          <w:szCs w:val="36"/>
          <w:u w:val="none"/>
        </w:rPr>
      </w:pPr>
      <w:r>
        <w:rPr>
          <w:rFonts w:ascii="仿宋" w:hAnsi="仿宋" w:eastAsia="仿宋"/>
          <w:b/>
          <w:u w:val="none"/>
        </w:rPr>
        <w:drawing>
          <wp:inline distT="0" distB="0" distL="114300" distR="114300">
            <wp:extent cx="3909060" cy="784860"/>
            <wp:effectExtent l="0" t="0" r="2540" b="2540"/>
            <wp:docPr id="1" name="图片 3" descr="备份公示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备份公示栏"/>
                    <pic:cNvPicPr>
                      <a:picLocks noChangeAspect="1"/>
                    </pic:cNvPicPr>
                  </pic:nvPicPr>
                  <pic:blipFill>
                    <a:blip r:embed="rId15"/>
                    <a:stretch>
                      <a:fillRect/>
                    </a:stretch>
                  </pic:blipFill>
                  <pic:spPr>
                    <a:xfrm>
                      <a:off x="0" y="0"/>
                      <a:ext cx="3909060" cy="784860"/>
                    </a:xfrm>
                    <a:prstGeom prst="rect">
                      <a:avLst/>
                    </a:prstGeom>
                    <a:noFill/>
                    <a:ln>
                      <a:noFill/>
                    </a:ln>
                  </pic:spPr>
                </pic:pic>
              </a:graphicData>
            </a:graphic>
          </wp:inline>
        </w:drawing>
      </w:r>
    </w:p>
    <w:p>
      <w:pPr>
        <w:ind w:firstLine="1040"/>
        <w:jc w:val="center"/>
        <w:rPr>
          <w:rFonts w:eastAsia="方正大标宋简体"/>
          <w:sz w:val="52"/>
          <w:szCs w:val="48"/>
          <w:u w:val="none"/>
        </w:rPr>
      </w:pPr>
    </w:p>
    <w:p>
      <w:pPr>
        <w:ind w:firstLine="1044"/>
        <w:jc w:val="center"/>
        <w:rPr>
          <w:rFonts w:hint="eastAsia" w:ascii="黑体" w:hAnsi="黑体" w:eastAsia="黑体" w:cs="黑体"/>
          <w:b/>
          <w:bCs/>
          <w:sz w:val="52"/>
          <w:szCs w:val="48"/>
          <w:u w:val="none"/>
        </w:rPr>
      </w:pPr>
      <w:r>
        <w:rPr>
          <w:rFonts w:hint="eastAsia" w:ascii="黑体" w:hAnsi="黑体" w:eastAsia="黑体" w:cs="黑体"/>
          <w:b/>
          <w:bCs/>
          <w:sz w:val="52"/>
          <w:szCs w:val="48"/>
          <w:u w:val="none"/>
        </w:rPr>
        <w:t>人才培养方案</w:t>
      </w:r>
    </w:p>
    <w:p>
      <w:pPr>
        <w:ind w:firstLine="960"/>
        <w:jc w:val="center"/>
        <w:rPr>
          <w:rFonts w:eastAsia="方正大标宋简体"/>
          <w:sz w:val="48"/>
          <w:szCs w:val="48"/>
          <w:u w:val="none"/>
        </w:rPr>
      </w:pPr>
    </w:p>
    <w:tbl>
      <w:tblPr>
        <w:tblStyle w:val="18"/>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217"/>
        <w:gridCol w:w="421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2" w:hRule="atLeast"/>
          <w:jc w:val="center"/>
        </w:trPr>
        <w:tc>
          <w:tcPr>
            <w:tcW w:w="2217" w:type="dxa"/>
            <w:tcBorders>
              <w:top w:val="single" w:color="FFFFFF" w:sz="4" w:space="0"/>
              <w:left w:val="single" w:color="FFFFFF" w:sz="4" w:space="0"/>
              <w:bottom w:val="single" w:color="FFFFFF" w:sz="4" w:space="0"/>
              <w:right w:val="single" w:color="FFFFFF" w:sz="4" w:space="0"/>
            </w:tcBorders>
            <w:noWrap w:val="0"/>
            <w:vAlign w:val="center"/>
          </w:tcPr>
          <w:p>
            <w:pPr>
              <w:ind w:firstLine="560"/>
              <w:jc w:val="distribute"/>
              <w:rPr>
                <w:rFonts w:eastAsia="黑体"/>
                <w:sz w:val="28"/>
                <w:szCs w:val="28"/>
                <w:u w:val="none"/>
              </w:rPr>
            </w:pPr>
            <w:r>
              <w:rPr>
                <w:rFonts w:hint="eastAsia" w:eastAsia="黑体"/>
                <w:sz w:val="28"/>
                <w:szCs w:val="28"/>
                <w:u w:val="none"/>
              </w:rPr>
              <w:t>专 业类别</w:t>
            </w:r>
          </w:p>
        </w:tc>
        <w:tc>
          <w:tcPr>
            <w:tcW w:w="4213" w:type="dxa"/>
            <w:tcBorders>
              <w:top w:val="single" w:color="FFFFFF" w:sz="4" w:space="0"/>
              <w:left w:val="single" w:color="FFFFFF" w:sz="4" w:space="0"/>
              <w:bottom w:val="single" w:color="auto" w:sz="4" w:space="0"/>
              <w:right w:val="single" w:color="FFFFFF" w:sz="4" w:space="0"/>
            </w:tcBorders>
            <w:noWrap w:val="0"/>
            <w:vAlign w:val="center"/>
          </w:tcPr>
          <w:p>
            <w:pPr>
              <w:ind w:firstLine="1120" w:firstLineChars="400"/>
              <w:rPr>
                <w:rFonts w:hint="eastAsia" w:eastAsia="仿宋_GB2312"/>
                <w:sz w:val="28"/>
                <w:szCs w:val="28"/>
                <w:u w:val="none"/>
              </w:rPr>
            </w:pPr>
            <w:r>
              <w:rPr>
                <w:rFonts w:hint="eastAsia" w:eastAsia="仿宋_GB2312"/>
                <w:sz w:val="28"/>
                <w:szCs w:val="28"/>
                <w:u w:val="none"/>
              </w:rPr>
              <w:t>土木建筑大类</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2" w:hRule="atLeast"/>
          <w:jc w:val="center"/>
        </w:trPr>
        <w:tc>
          <w:tcPr>
            <w:tcW w:w="2217" w:type="dxa"/>
            <w:tcBorders>
              <w:top w:val="single" w:color="FFFFFF" w:sz="4" w:space="0"/>
              <w:left w:val="single" w:color="FFFFFF" w:sz="4" w:space="0"/>
              <w:bottom w:val="single" w:color="FFFFFF" w:sz="4" w:space="0"/>
              <w:right w:val="single" w:color="FFFFFF" w:sz="4" w:space="0"/>
            </w:tcBorders>
            <w:noWrap w:val="0"/>
            <w:vAlign w:val="center"/>
          </w:tcPr>
          <w:p>
            <w:pPr>
              <w:ind w:firstLine="560"/>
              <w:jc w:val="distribute"/>
              <w:rPr>
                <w:rFonts w:eastAsia="黑体"/>
                <w:sz w:val="28"/>
                <w:szCs w:val="28"/>
                <w:u w:val="none"/>
              </w:rPr>
            </w:pPr>
            <w:r>
              <w:rPr>
                <w:rFonts w:hint="eastAsia" w:eastAsia="黑体"/>
                <w:sz w:val="28"/>
                <w:szCs w:val="28"/>
                <w:u w:val="none"/>
              </w:rPr>
              <w:t>专业名称</w:t>
            </w:r>
          </w:p>
        </w:tc>
        <w:tc>
          <w:tcPr>
            <w:tcW w:w="4213" w:type="dxa"/>
            <w:tcBorders>
              <w:top w:val="single" w:color="FFFFFF" w:sz="4" w:space="0"/>
              <w:left w:val="single" w:color="FFFFFF" w:sz="4" w:space="0"/>
              <w:bottom w:val="single" w:color="auto" w:sz="4" w:space="0"/>
              <w:right w:val="single" w:color="FFFFFF" w:sz="4" w:space="0"/>
            </w:tcBorders>
            <w:noWrap w:val="0"/>
            <w:vAlign w:val="center"/>
          </w:tcPr>
          <w:p>
            <w:pPr>
              <w:ind w:firstLine="0" w:firstLineChars="0"/>
              <w:jc w:val="center"/>
              <w:rPr>
                <w:rFonts w:hint="eastAsia" w:eastAsia="仿宋_GB2312"/>
                <w:sz w:val="28"/>
                <w:szCs w:val="28"/>
                <w:u w:val="none"/>
              </w:rPr>
            </w:pPr>
            <w:r>
              <w:rPr>
                <w:rFonts w:hint="eastAsia" w:eastAsia="仿宋_GB2312"/>
                <w:sz w:val="28"/>
                <w:szCs w:val="28"/>
                <w:u w:val="none"/>
              </w:rPr>
              <w:t>建筑经济信息化管理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2" w:hRule="atLeast"/>
          <w:jc w:val="center"/>
        </w:trPr>
        <w:tc>
          <w:tcPr>
            <w:tcW w:w="2217" w:type="dxa"/>
            <w:tcBorders>
              <w:top w:val="single" w:color="FFFFFF" w:sz="4" w:space="0"/>
              <w:left w:val="single" w:color="FFFFFF" w:sz="4" w:space="0"/>
              <w:bottom w:val="single" w:color="FFFFFF" w:sz="4" w:space="0"/>
              <w:right w:val="single" w:color="FFFFFF" w:sz="4" w:space="0"/>
            </w:tcBorders>
            <w:noWrap w:val="0"/>
            <w:vAlign w:val="center"/>
          </w:tcPr>
          <w:p>
            <w:pPr>
              <w:ind w:firstLine="560"/>
              <w:jc w:val="distribute"/>
              <w:rPr>
                <w:rFonts w:hint="eastAsia" w:eastAsia="黑体"/>
                <w:sz w:val="28"/>
                <w:szCs w:val="28"/>
                <w:u w:val="none"/>
              </w:rPr>
            </w:pPr>
            <w:bookmarkStart w:id="282" w:name="_GoBack"/>
            <w:r>
              <w:rPr>
                <w:rFonts w:hint="eastAsia" w:eastAsia="黑体"/>
                <w:sz w:val="28"/>
                <w:szCs w:val="28"/>
                <w:u w:val="none"/>
              </w:rPr>
              <w:t>专业代码</w:t>
            </w:r>
          </w:p>
        </w:tc>
        <w:tc>
          <w:tcPr>
            <w:tcW w:w="4213" w:type="dxa"/>
            <w:tcBorders>
              <w:top w:val="single" w:color="FFFFFF" w:sz="4" w:space="0"/>
              <w:left w:val="single" w:color="FFFFFF" w:sz="4" w:space="0"/>
              <w:bottom w:val="single" w:color="auto" w:sz="4" w:space="0"/>
              <w:right w:val="single" w:color="FFFFFF" w:sz="4" w:space="0"/>
            </w:tcBorders>
            <w:noWrap w:val="0"/>
            <w:vAlign w:val="center"/>
          </w:tcPr>
          <w:p>
            <w:pPr>
              <w:ind w:firstLine="0" w:firstLineChars="0"/>
              <w:jc w:val="center"/>
              <w:rPr>
                <w:rFonts w:hint="eastAsia" w:eastAsia="仿宋_GB2312"/>
                <w:sz w:val="28"/>
                <w:szCs w:val="28"/>
                <w:u w:val="none"/>
              </w:rPr>
            </w:pPr>
            <w:r>
              <w:rPr>
                <w:rFonts w:hint="eastAsia" w:eastAsia="仿宋_GB2312"/>
                <w:sz w:val="28"/>
                <w:szCs w:val="28"/>
                <w:u w:val="none"/>
              </w:rPr>
              <w:t>440503</w:t>
            </w:r>
          </w:p>
        </w:tc>
      </w:tr>
      <w:bookmarkEnd w:id="282"/>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2" w:hRule="atLeast"/>
          <w:jc w:val="center"/>
        </w:trPr>
        <w:tc>
          <w:tcPr>
            <w:tcW w:w="2217" w:type="dxa"/>
            <w:tcBorders>
              <w:top w:val="single" w:color="FFFFFF" w:sz="4" w:space="0"/>
              <w:left w:val="single" w:color="FFFFFF" w:sz="4" w:space="0"/>
              <w:bottom w:val="single" w:color="FFFFFF" w:sz="4" w:space="0"/>
              <w:right w:val="single" w:color="FFFFFF" w:sz="4" w:space="0"/>
            </w:tcBorders>
            <w:noWrap w:val="0"/>
            <w:vAlign w:val="center"/>
          </w:tcPr>
          <w:p>
            <w:pPr>
              <w:ind w:firstLine="560"/>
              <w:jc w:val="distribute"/>
              <w:rPr>
                <w:rFonts w:eastAsia="黑体"/>
                <w:sz w:val="28"/>
                <w:szCs w:val="28"/>
                <w:u w:val="none"/>
              </w:rPr>
            </w:pPr>
            <w:r>
              <w:rPr>
                <w:rFonts w:hint="eastAsia" w:eastAsia="黑体"/>
                <w:sz w:val="28"/>
                <w:szCs w:val="28"/>
                <w:u w:val="none"/>
              </w:rPr>
              <w:t>招生性质</w:t>
            </w:r>
          </w:p>
        </w:tc>
        <w:tc>
          <w:tcPr>
            <w:tcW w:w="4213" w:type="dxa"/>
            <w:tcBorders>
              <w:top w:val="single" w:color="FFFFFF" w:sz="4" w:space="0"/>
              <w:left w:val="single" w:color="FFFFFF" w:sz="4" w:space="0"/>
              <w:bottom w:val="single" w:color="auto" w:sz="4" w:space="0"/>
              <w:right w:val="single" w:color="FFFFFF" w:sz="4" w:space="0"/>
            </w:tcBorders>
            <w:noWrap w:val="0"/>
            <w:vAlign w:val="center"/>
          </w:tcPr>
          <w:p>
            <w:pPr>
              <w:adjustRightInd w:val="0"/>
              <w:snapToGrid w:val="0"/>
              <w:spacing w:line="240" w:lineRule="auto"/>
              <w:ind w:firstLine="0" w:firstLineChars="0"/>
              <w:jc w:val="center"/>
              <w:rPr>
                <w:rFonts w:hint="eastAsia" w:ascii="仿宋" w:hAnsi="仿宋" w:eastAsia="仿宋" w:cs="仿宋"/>
                <w:sz w:val="28"/>
                <w:szCs w:val="28"/>
                <w:u w:val="none"/>
              </w:rPr>
            </w:pPr>
            <w:r>
              <w:rPr>
                <w:rFonts w:hint="eastAsia" w:ascii="仿宋" w:hAnsi="仿宋" w:eastAsia="仿宋" w:cs="仿宋"/>
                <w:sz w:val="28"/>
                <w:szCs w:val="28"/>
                <w:u w:val="none"/>
              </w:rPr>
              <w:t>高等职业院校分类考试招生</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2" w:hRule="atLeast"/>
          <w:jc w:val="center"/>
        </w:trPr>
        <w:tc>
          <w:tcPr>
            <w:tcW w:w="2217" w:type="dxa"/>
            <w:tcBorders>
              <w:top w:val="single" w:color="FFFFFF" w:sz="4" w:space="0"/>
              <w:left w:val="single" w:color="FFFFFF" w:sz="4" w:space="0"/>
              <w:bottom w:val="single" w:color="FFFFFF" w:sz="4" w:space="0"/>
              <w:right w:val="single" w:color="FFFFFF" w:sz="4" w:space="0"/>
            </w:tcBorders>
            <w:noWrap w:val="0"/>
            <w:vAlign w:val="center"/>
          </w:tcPr>
          <w:p>
            <w:pPr>
              <w:ind w:firstLine="560"/>
              <w:jc w:val="distribute"/>
              <w:rPr>
                <w:rFonts w:eastAsia="黑体"/>
                <w:sz w:val="28"/>
                <w:szCs w:val="28"/>
                <w:u w:val="none"/>
              </w:rPr>
            </w:pPr>
            <w:r>
              <w:rPr>
                <w:rFonts w:hint="eastAsia" w:eastAsia="黑体"/>
                <w:sz w:val="28"/>
                <w:szCs w:val="28"/>
                <w:u w:val="none"/>
              </w:rPr>
              <w:t>学制</w:t>
            </w:r>
          </w:p>
        </w:tc>
        <w:tc>
          <w:tcPr>
            <w:tcW w:w="4213" w:type="dxa"/>
            <w:tcBorders>
              <w:top w:val="single" w:color="FFFFFF" w:sz="4" w:space="0"/>
              <w:left w:val="single" w:color="FFFFFF" w:sz="4" w:space="0"/>
              <w:bottom w:val="single" w:color="auto" w:sz="4" w:space="0"/>
              <w:right w:val="single" w:color="FFFFFF" w:sz="4" w:space="0"/>
            </w:tcBorders>
            <w:noWrap w:val="0"/>
            <w:vAlign w:val="center"/>
          </w:tcPr>
          <w:p>
            <w:pPr>
              <w:ind w:firstLine="1680" w:firstLineChars="600"/>
              <w:rPr>
                <w:rFonts w:hint="eastAsia" w:eastAsia="仿宋_GB2312"/>
                <w:sz w:val="28"/>
                <w:szCs w:val="28"/>
                <w:u w:val="none"/>
              </w:rPr>
            </w:pPr>
            <w:r>
              <w:rPr>
                <w:rFonts w:hint="eastAsia" w:eastAsia="仿宋_GB2312"/>
                <w:sz w:val="28"/>
                <w:szCs w:val="28"/>
                <w:u w:val="none"/>
              </w:rPr>
              <w:t>3年</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2" w:hRule="atLeast"/>
          <w:jc w:val="center"/>
        </w:trPr>
        <w:tc>
          <w:tcPr>
            <w:tcW w:w="2217" w:type="dxa"/>
            <w:tcBorders>
              <w:top w:val="single" w:color="FFFFFF" w:sz="4" w:space="0"/>
              <w:left w:val="single" w:color="FFFFFF" w:sz="4" w:space="0"/>
              <w:bottom w:val="single" w:color="FFFFFF" w:sz="4" w:space="0"/>
              <w:right w:val="single" w:color="FFFFFF" w:sz="4" w:space="0"/>
            </w:tcBorders>
            <w:noWrap w:val="0"/>
            <w:vAlign w:val="center"/>
          </w:tcPr>
          <w:p>
            <w:pPr>
              <w:ind w:firstLine="0" w:firstLineChars="0"/>
              <w:jc w:val="distribute"/>
              <w:rPr>
                <w:rFonts w:eastAsia="黑体"/>
                <w:sz w:val="28"/>
                <w:szCs w:val="28"/>
                <w:u w:val="none"/>
              </w:rPr>
            </w:pPr>
            <w:r>
              <w:rPr>
                <w:rFonts w:hint="eastAsia" w:eastAsia="黑体"/>
                <w:sz w:val="28"/>
                <w:szCs w:val="28"/>
                <w:u w:val="none"/>
              </w:rPr>
              <w:t xml:space="preserve">    </w:t>
            </w:r>
            <w:r>
              <w:rPr>
                <w:rFonts w:hint="eastAsia" w:eastAsia="黑体" w:cs="Times New Roman"/>
                <w:sz w:val="28"/>
                <w:szCs w:val="28"/>
                <w:u w:val="none"/>
              </w:rPr>
              <w:t>专业负责人</w:t>
            </w:r>
          </w:p>
        </w:tc>
        <w:tc>
          <w:tcPr>
            <w:tcW w:w="4213" w:type="dxa"/>
            <w:tcBorders>
              <w:top w:val="single" w:color="FFFFFF" w:sz="4" w:space="0"/>
              <w:left w:val="single" w:color="FFFFFF" w:sz="4" w:space="0"/>
              <w:bottom w:val="single" w:color="auto" w:sz="4" w:space="0"/>
              <w:right w:val="single" w:color="FFFFFF" w:sz="4" w:space="0"/>
            </w:tcBorders>
            <w:noWrap w:val="0"/>
            <w:vAlign w:val="center"/>
          </w:tcPr>
          <w:p>
            <w:pPr>
              <w:ind w:firstLine="1680" w:firstLineChars="600"/>
              <w:rPr>
                <w:rFonts w:hint="eastAsia" w:eastAsia="仿宋_GB2312"/>
                <w:sz w:val="28"/>
                <w:szCs w:val="28"/>
                <w:u w:val="none"/>
              </w:rPr>
            </w:pPr>
            <w:r>
              <w:rPr>
                <w:rFonts w:hint="eastAsia" w:eastAsia="仿宋_GB2312"/>
                <w:sz w:val="28"/>
                <w:szCs w:val="28"/>
                <w:u w:val="none"/>
              </w:rPr>
              <w:t>张莉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2" w:hRule="atLeast"/>
          <w:jc w:val="center"/>
        </w:trPr>
        <w:tc>
          <w:tcPr>
            <w:tcW w:w="2217" w:type="dxa"/>
            <w:tcBorders>
              <w:top w:val="single" w:color="FFFFFF" w:sz="4" w:space="0"/>
              <w:left w:val="single" w:color="FFFFFF" w:sz="4" w:space="0"/>
              <w:bottom w:val="single" w:color="FFFFFF" w:sz="4" w:space="0"/>
              <w:right w:val="single" w:color="FFFFFF" w:sz="4" w:space="0"/>
            </w:tcBorders>
            <w:noWrap w:val="0"/>
            <w:vAlign w:val="center"/>
          </w:tcPr>
          <w:p>
            <w:pPr>
              <w:ind w:firstLine="560"/>
              <w:jc w:val="distribute"/>
              <w:rPr>
                <w:rFonts w:eastAsia="黑体"/>
                <w:sz w:val="28"/>
                <w:szCs w:val="28"/>
                <w:u w:val="none"/>
              </w:rPr>
            </w:pPr>
            <w:r>
              <w:rPr>
                <w:rFonts w:hint="eastAsia" w:eastAsia="黑体"/>
                <w:sz w:val="28"/>
                <w:szCs w:val="28"/>
                <w:u w:val="none"/>
              </w:rPr>
              <w:t>系主任</w:t>
            </w:r>
          </w:p>
        </w:tc>
        <w:tc>
          <w:tcPr>
            <w:tcW w:w="4213" w:type="dxa"/>
            <w:tcBorders>
              <w:top w:val="single" w:color="FFFFFF" w:sz="4" w:space="0"/>
              <w:left w:val="single" w:color="FFFFFF" w:sz="4" w:space="0"/>
              <w:bottom w:val="single" w:color="auto" w:sz="4" w:space="0"/>
              <w:right w:val="single" w:color="FFFFFF" w:sz="4" w:space="0"/>
            </w:tcBorders>
            <w:noWrap w:val="0"/>
            <w:vAlign w:val="center"/>
          </w:tcPr>
          <w:p>
            <w:pPr>
              <w:ind w:firstLine="1680" w:firstLineChars="600"/>
              <w:rPr>
                <w:rFonts w:hint="eastAsia" w:eastAsia="仿宋_GB2312"/>
                <w:sz w:val="28"/>
                <w:szCs w:val="28"/>
                <w:u w:val="none"/>
              </w:rPr>
            </w:pPr>
            <w:r>
              <w:rPr>
                <w:rFonts w:hint="eastAsia" w:eastAsia="仿宋_GB2312"/>
                <w:sz w:val="28"/>
                <w:szCs w:val="28"/>
                <w:u w:val="none"/>
              </w:rPr>
              <w:t>程峰</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2" w:hRule="atLeast"/>
          <w:jc w:val="center"/>
        </w:trPr>
        <w:tc>
          <w:tcPr>
            <w:tcW w:w="2217" w:type="dxa"/>
            <w:tcBorders>
              <w:top w:val="single" w:color="FFFFFF" w:sz="4" w:space="0"/>
              <w:left w:val="single" w:color="FFFFFF" w:sz="4" w:space="0"/>
              <w:bottom w:val="single" w:color="FFFFFF" w:sz="4" w:space="0"/>
              <w:right w:val="single" w:color="FFFFFF" w:sz="4" w:space="0"/>
            </w:tcBorders>
            <w:noWrap w:val="0"/>
            <w:vAlign w:val="center"/>
          </w:tcPr>
          <w:p>
            <w:pPr>
              <w:ind w:left="0" w:leftChars="0" w:firstLine="0" w:firstLineChars="0"/>
              <w:jc w:val="distribute"/>
              <w:rPr>
                <w:rFonts w:hint="eastAsia" w:eastAsia="黑体"/>
                <w:sz w:val="28"/>
                <w:szCs w:val="28"/>
                <w:u w:val="none"/>
              </w:rPr>
            </w:pPr>
            <w:r>
              <w:rPr>
                <w:rFonts w:hint="eastAsia" w:eastAsia="黑体"/>
                <w:sz w:val="28"/>
                <w:szCs w:val="28"/>
                <w:u w:val="none"/>
                <w:lang w:val="en-US" w:eastAsia="zh-CN"/>
              </w:rPr>
              <w:t>制（</w:t>
            </w:r>
            <w:r>
              <w:rPr>
                <w:rFonts w:hint="eastAsia" w:eastAsia="黑体"/>
                <w:sz w:val="28"/>
                <w:szCs w:val="28"/>
                <w:u w:val="none"/>
                <w:lang w:eastAsia="zh-CN"/>
              </w:rPr>
              <w:t>修</w:t>
            </w:r>
            <w:r>
              <w:rPr>
                <w:rFonts w:hint="eastAsia" w:eastAsia="黑体"/>
                <w:sz w:val="28"/>
                <w:szCs w:val="28"/>
                <w:u w:val="none"/>
                <w:lang w:val="en-US" w:eastAsia="zh-CN"/>
              </w:rPr>
              <w:t>）订日期</w:t>
            </w:r>
            <w:r>
              <w:rPr>
                <w:rFonts w:hint="eastAsia" w:eastAsia="黑体"/>
                <w:sz w:val="28"/>
                <w:szCs w:val="28"/>
                <w:u w:val="none"/>
              </w:rPr>
              <w:t xml:space="preserve"> </w:t>
            </w:r>
          </w:p>
        </w:tc>
        <w:tc>
          <w:tcPr>
            <w:tcW w:w="4213" w:type="dxa"/>
            <w:tcBorders>
              <w:top w:val="single" w:color="FFFFFF" w:sz="4" w:space="0"/>
              <w:left w:val="single" w:color="FFFFFF" w:sz="4" w:space="0"/>
              <w:bottom w:val="single" w:color="auto" w:sz="4" w:space="0"/>
              <w:right w:val="single" w:color="FFFFFF" w:sz="4" w:space="0"/>
            </w:tcBorders>
            <w:noWrap w:val="0"/>
            <w:vAlign w:val="center"/>
          </w:tcPr>
          <w:p>
            <w:pPr>
              <w:adjustRightInd w:val="0"/>
              <w:snapToGrid w:val="0"/>
              <w:spacing w:line="240" w:lineRule="auto"/>
              <w:ind w:firstLine="0" w:firstLineChars="0"/>
              <w:jc w:val="center"/>
              <w:rPr>
                <w:rFonts w:eastAsia="仿宋_GB2312"/>
                <w:sz w:val="28"/>
                <w:szCs w:val="28"/>
                <w:u w:val="none"/>
              </w:rPr>
            </w:pPr>
            <w:r>
              <w:rPr>
                <w:rFonts w:hint="eastAsia" w:eastAsia="仿宋_GB2312"/>
                <w:sz w:val="28"/>
                <w:szCs w:val="28"/>
                <w:u w:val="none"/>
              </w:rPr>
              <w:t>202</w:t>
            </w:r>
            <w:r>
              <w:rPr>
                <w:rFonts w:hint="eastAsia" w:eastAsia="仿宋_GB2312"/>
                <w:sz w:val="28"/>
                <w:szCs w:val="28"/>
                <w:u w:val="none"/>
                <w:lang w:val="en-US" w:eastAsia="zh-CN"/>
              </w:rPr>
              <w:t>2</w:t>
            </w:r>
            <w:r>
              <w:rPr>
                <w:rFonts w:hint="eastAsia" w:eastAsia="仿宋_GB2312"/>
                <w:sz w:val="28"/>
                <w:szCs w:val="28"/>
                <w:u w:val="none"/>
              </w:rPr>
              <w:t>年</w:t>
            </w:r>
            <w:r>
              <w:rPr>
                <w:rFonts w:hint="eastAsia" w:eastAsia="仿宋_GB2312"/>
                <w:sz w:val="28"/>
                <w:szCs w:val="28"/>
                <w:u w:val="none"/>
                <w:lang w:val="en-US" w:eastAsia="zh-CN"/>
              </w:rPr>
              <w:t>3</w:t>
            </w:r>
            <w:r>
              <w:rPr>
                <w:rFonts w:hint="eastAsia" w:eastAsia="仿宋_GB2312"/>
                <w:sz w:val="28"/>
                <w:szCs w:val="28"/>
                <w:u w:val="none"/>
              </w:rPr>
              <w:t>月</w:t>
            </w:r>
          </w:p>
        </w:tc>
      </w:tr>
    </w:tbl>
    <w:p>
      <w:pPr>
        <w:ind w:firstLine="560"/>
        <w:jc w:val="center"/>
        <w:rPr>
          <w:rFonts w:eastAsia="方正大标宋简体"/>
          <w:sz w:val="28"/>
          <w:szCs w:val="28"/>
          <w:u w:val="none"/>
        </w:rPr>
      </w:pPr>
    </w:p>
    <w:p>
      <w:pPr>
        <w:ind w:firstLine="0" w:firstLineChars="0"/>
        <w:rPr>
          <w:rFonts w:eastAsia="方正大标宋简体"/>
          <w:sz w:val="28"/>
          <w:szCs w:val="28"/>
          <w:u w:val="none"/>
        </w:rPr>
      </w:pPr>
    </w:p>
    <w:p>
      <w:pPr>
        <w:ind w:firstLine="3080" w:firstLineChars="1100"/>
        <w:rPr>
          <w:rFonts w:eastAsia="方正魏碑简体"/>
          <w:sz w:val="28"/>
          <w:szCs w:val="28"/>
          <w:u w:val="none"/>
        </w:rPr>
      </w:pPr>
      <w:r>
        <w:rPr>
          <w:rFonts w:hint="eastAsia" w:eastAsia="方正魏碑简体"/>
          <w:sz w:val="28"/>
          <w:szCs w:val="28"/>
          <w:u w:val="none"/>
        </w:rPr>
        <w:t>安徽审计</w:t>
      </w:r>
      <w:r>
        <w:rPr>
          <w:rFonts w:eastAsia="方正魏碑简体"/>
          <w:sz w:val="28"/>
          <w:szCs w:val="28"/>
          <w:u w:val="none"/>
        </w:rPr>
        <w:t>职业学院</w:t>
      </w:r>
      <w:r>
        <w:rPr>
          <w:rFonts w:hint="eastAsia" w:eastAsia="方正魏碑简体"/>
          <w:sz w:val="28"/>
          <w:szCs w:val="28"/>
          <w:u w:val="none"/>
        </w:rPr>
        <w:t>教务处制</w:t>
      </w:r>
    </w:p>
    <w:p>
      <w:pPr>
        <w:ind w:firstLine="560"/>
        <w:jc w:val="center"/>
        <w:rPr>
          <w:rFonts w:hint="eastAsia" w:eastAsia="方正魏碑简体"/>
          <w:sz w:val="28"/>
          <w:szCs w:val="28"/>
          <w:u w:val="none"/>
        </w:rPr>
      </w:pPr>
      <w:r>
        <w:rPr>
          <w:rFonts w:hint="eastAsia" w:eastAsia="方正魏碑简体"/>
          <w:sz w:val="28"/>
          <w:szCs w:val="28"/>
          <w:u w:val="none"/>
        </w:rPr>
        <w:t>二〇二</w:t>
      </w:r>
      <w:r>
        <w:rPr>
          <w:rFonts w:hint="eastAsia" w:eastAsia="方正魏碑简体"/>
          <w:sz w:val="28"/>
          <w:szCs w:val="28"/>
          <w:u w:val="none"/>
          <w:lang w:eastAsia="zh-CN"/>
        </w:rPr>
        <w:t>二</w:t>
      </w:r>
      <w:r>
        <w:rPr>
          <w:rFonts w:hint="eastAsia" w:eastAsia="方正魏碑简体"/>
          <w:sz w:val="28"/>
          <w:szCs w:val="28"/>
          <w:u w:val="none"/>
        </w:rPr>
        <w:t>年</w:t>
      </w:r>
      <w:r>
        <w:rPr>
          <w:rFonts w:hint="eastAsia" w:eastAsia="方正魏碑简体"/>
          <w:sz w:val="28"/>
          <w:szCs w:val="28"/>
          <w:u w:val="none"/>
          <w:lang w:eastAsia="zh-CN"/>
        </w:rPr>
        <w:t>三</w:t>
      </w:r>
      <w:r>
        <w:rPr>
          <w:rFonts w:hint="eastAsia" w:eastAsia="方正魏碑简体"/>
          <w:sz w:val="28"/>
          <w:szCs w:val="28"/>
          <w:u w:val="none"/>
        </w:rPr>
        <w:t>月</w:t>
      </w:r>
    </w:p>
    <w:p>
      <w:pPr>
        <w:ind w:firstLine="560"/>
        <w:jc w:val="center"/>
        <w:rPr>
          <w:rFonts w:hint="eastAsia" w:eastAsia="方正魏碑简体"/>
          <w:sz w:val="28"/>
          <w:szCs w:val="28"/>
          <w:u w:val="none"/>
        </w:rPr>
        <w:sectPr>
          <w:headerReference r:id="rId7" w:type="first"/>
          <w:footerReference r:id="rId10" w:type="first"/>
          <w:headerReference r:id="rId5" w:type="default"/>
          <w:footerReference r:id="rId8" w:type="default"/>
          <w:headerReference r:id="rId6" w:type="even"/>
          <w:footerReference r:id="rId9" w:type="even"/>
          <w:pgSz w:w="11906" w:h="16838"/>
          <w:pgMar w:top="1247" w:right="1418" w:bottom="1247" w:left="1701" w:header="851" w:footer="992" w:gutter="0"/>
          <w:cols w:space="720" w:num="1"/>
          <w:titlePg/>
          <w:docGrid w:type="lines" w:linePitch="312" w:charSpace="0"/>
        </w:sectPr>
      </w:pPr>
    </w:p>
    <w:p>
      <w:pPr>
        <w:pStyle w:val="15"/>
        <w:tabs>
          <w:tab w:val="right" w:leader="dot" w:pos="9070"/>
        </w:tabs>
        <w:spacing w:line="288" w:lineRule="auto"/>
        <w:ind w:left="480"/>
        <w:jc w:val="center"/>
        <w:rPr>
          <w:rFonts w:hint="eastAsia"/>
          <w:u w:val="none"/>
        </w:rPr>
      </w:pPr>
      <w:r>
        <w:rPr>
          <w:rFonts w:hint="eastAsia" w:ascii="黑体" w:hAnsi="黑体" w:eastAsia="黑体" w:cs="黑体"/>
          <w:b/>
          <w:bCs/>
          <w:sz w:val="32"/>
          <w:szCs w:val="32"/>
          <w:u w:val="none"/>
        </w:rPr>
        <w:t>目 录</w:t>
      </w:r>
      <w:r>
        <w:rPr>
          <w:rFonts w:hint="eastAsia"/>
          <w:u w:val="none"/>
        </w:rPr>
        <w:fldChar w:fldCharType="begin"/>
      </w:r>
      <w:r>
        <w:rPr>
          <w:rFonts w:hint="eastAsia"/>
          <w:u w:val="none"/>
        </w:rPr>
        <w:instrText xml:space="preserve">TOC \o "1-2" \h \u </w:instrText>
      </w:r>
      <w:r>
        <w:rPr>
          <w:rFonts w:hint="eastAsia"/>
          <w:u w:val="none"/>
        </w:rPr>
        <w:fldChar w:fldCharType="separate"/>
      </w:r>
    </w:p>
    <w:p>
      <w:pPr>
        <w:pStyle w:val="37"/>
        <w:tabs>
          <w:tab w:val="right" w:leader="dot" w:pos="9070"/>
        </w:tabs>
        <w:rPr>
          <w:rFonts w:hint="eastAsia" w:ascii="黑体" w:hAnsi="黑体" w:eastAsia="黑体" w:cs="黑体"/>
          <w:b w:val="0"/>
          <w:bCs/>
          <w:sz w:val="21"/>
          <w:szCs w:val="21"/>
          <w:u w:val="none"/>
        </w:rPr>
      </w:pPr>
      <w:r>
        <w:rPr>
          <w:rFonts w:hint="eastAsia"/>
          <w:u w:val="none"/>
        </w:rPr>
        <w:fldChar w:fldCharType="begin"/>
      </w:r>
      <w:r>
        <w:rPr>
          <w:rFonts w:hint="eastAsia"/>
          <w:u w:val="none"/>
        </w:rPr>
        <w:instrText xml:space="preserve">TOC \o "1-2" \h \u </w:instrText>
      </w:r>
      <w:r>
        <w:rPr>
          <w:rFonts w:hint="eastAsia"/>
          <w:u w:val="none"/>
        </w:rPr>
        <w:fldChar w:fldCharType="separate"/>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_Toc11270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一、专业名称及代码</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_Toc11270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1</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_Toc26788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二、入学要求</w:t>
      </w:r>
      <w:r>
        <w:rPr>
          <w:rFonts w:hint="eastAsia" w:ascii="黑体" w:hAnsi="黑体" w:eastAsia="黑体" w:cs="黑体"/>
          <w:b w:val="0"/>
          <w:bCs/>
          <w:sz w:val="21"/>
          <w:szCs w:val="21"/>
          <w:u w:val="none"/>
          <w:lang w:eastAsia="zh-CN"/>
        </w:rPr>
        <w:t>（招生对象）</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_Toc26788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1</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_Toc26372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三、修业年限</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_Toc26372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1</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_Toc22823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四、职业面向</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_Toc22823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1</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_Toc23846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五、培养目标与培养规格</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_Toc23846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_Toc7010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（一）培养目标</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_Toc7010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_Toc13746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（二）培养规格</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_Toc13746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_Toc3237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六、</w:t>
      </w:r>
      <w:r>
        <w:rPr>
          <w:rFonts w:hint="eastAsia" w:ascii="黑体" w:hAnsi="黑体" w:eastAsia="黑体" w:cs="黑体"/>
          <w:b w:val="0"/>
          <w:bCs/>
          <w:sz w:val="21"/>
          <w:szCs w:val="21"/>
          <w:u w:val="none"/>
          <w:lang w:val="en-US" w:eastAsia="zh-CN"/>
        </w:rPr>
        <w:t>课程体系与课程设置及要求</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_Toc3237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4</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_Toc26454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（一）课程体系</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_Toc26454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4</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_Toc1304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（二）课程设置</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_Toc1304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5</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_Toc31999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七、教学进程总体安排</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_Toc31999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17</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_Toc20921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八、实施保障</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_Toc20921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19</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_Toc20080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（一）师资队伍</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_Toc20080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19</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_Toc5898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（二）教学设施</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_Toc5898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19</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_Toc12970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（三）教学资源</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_Toc12970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20</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_Toc10865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（四）教学方法</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_Toc10865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20</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_Toc8792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（五）学习评价</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_Toc8792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21</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_Toc8026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（六）质量管理</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_Toc8026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21</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_Toc13026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九、学分管理和学分认定转换</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_Toc13026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22</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_Toc28306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（一）学分管理</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_Toc28306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22</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_Toc22229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（二）学分认定与转换</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_Toc22229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22</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_Toc4486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十、毕业要求</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_Toc4486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26</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7"/>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_Toc30393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十一、附录</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_Toc30393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27</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_Toc30777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（一）教育活动设计</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_Toc30777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27</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_Toc19871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kern w:val="0"/>
          <w:sz w:val="21"/>
          <w:szCs w:val="21"/>
          <w:u w:val="none"/>
        </w:rPr>
        <w:t>（二）教学周历</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_Toc19871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28</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_Toc14386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kern w:val="0"/>
          <w:sz w:val="21"/>
          <w:szCs w:val="21"/>
          <w:u w:val="none"/>
        </w:rPr>
        <w:t>（三）课程结构比例分布表</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_Toc14386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28</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_Toc3799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kern w:val="0"/>
          <w:sz w:val="21"/>
          <w:szCs w:val="21"/>
          <w:u w:val="none"/>
        </w:rPr>
        <w:t>（四）考核方式</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_Toc3799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28</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ascii="黑体" w:hAnsi="黑体" w:eastAsia="黑体" w:cs="黑体"/>
          <w:b w:val="0"/>
          <w:bCs/>
          <w:sz w:val="21"/>
          <w:szCs w:val="21"/>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_Toc958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kern w:val="0"/>
          <w:sz w:val="21"/>
          <w:szCs w:val="21"/>
          <w:u w:val="none"/>
        </w:rPr>
        <w:t>（五）认识实习、项目实训、</w:t>
      </w:r>
      <w:r>
        <w:rPr>
          <w:rFonts w:hint="eastAsia" w:ascii="黑体" w:hAnsi="黑体" w:eastAsia="黑体" w:cs="黑体"/>
          <w:b w:val="0"/>
          <w:bCs/>
          <w:kern w:val="0"/>
          <w:sz w:val="21"/>
          <w:szCs w:val="21"/>
          <w:u w:val="none"/>
          <w:lang w:eastAsia="zh-CN"/>
        </w:rPr>
        <w:t>岗位</w:t>
      </w:r>
      <w:r>
        <w:rPr>
          <w:rFonts w:hint="eastAsia" w:ascii="黑体" w:hAnsi="黑体" w:eastAsia="黑体" w:cs="黑体"/>
          <w:b w:val="0"/>
          <w:bCs/>
          <w:kern w:val="0"/>
          <w:sz w:val="21"/>
          <w:szCs w:val="21"/>
          <w:u w:val="none"/>
        </w:rPr>
        <w:t>实习</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_Toc958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29</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u w:val="none"/>
        </w:rPr>
      </w:pP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HYPERLINK \l _Toc18105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kern w:val="0"/>
          <w:sz w:val="21"/>
          <w:szCs w:val="21"/>
          <w:u w:val="none"/>
        </w:rPr>
        <w:t>（六）专业</w:t>
      </w:r>
      <w:r>
        <w:rPr>
          <w:rFonts w:hint="eastAsia" w:ascii="黑体" w:hAnsi="黑体" w:eastAsia="黑体" w:cs="黑体"/>
          <w:b w:val="0"/>
          <w:bCs/>
          <w:sz w:val="21"/>
          <w:szCs w:val="21"/>
          <w:u w:val="none"/>
        </w:rPr>
        <w:t>核心课程简介</w:t>
      </w:r>
      <w:r>
        <w:rPr>
          <w:rFonts w:hint="eastAsia" w:ascii="黑体" w:hAnsi="黑体" w:eastAsia="黑体" w:cs="黑体"/>
          <w:b w:val="0"/>
          <w:bCs/>
          <w:sz w:val="21"/>
          <w:szCs w:val="21"/>
          <w:u w:val="none"/>
        </w:rPr>
        <w:tab/>
      </w:r>
      <w:r>
        <w:rPr>
          <w:rFonts w:hint="eastAsia" w:ascii="黑体" w:hAnsi="黑体" w:eastAsia="黑体" w:cs="黑体"/>
          <w:b w:val="0"/>
          <w:bCs/>
          <w:sz w:val="21"/>
          <w:szCs w:val="21"/>
          <w:u w:val="none"/>
        </w:rPr>
        <w:fldChar w:fldCharType="begin"/>
      </w:r>
      <w:r>
        <w:rPr>
          <w:rFonts w:hint="eastAsia" w:ascii="黑体" w:hAnsi="黑体" w:eastAsia="黑体" w:cs="黑体"/>
          <w:b w:val="0"/>
          <w:bCs/>
          <w:sz w:val="21"/>
          <w:szCs w:val="21"/>
          <w:u w:val="none"/>
        </w:rPr>
        <w:instrText xml:space="preserve"> PAGEREF _Toc18105 </w:instrText>
      </w:r>
      <w:r>
        <w:rPr>
          <w:rFonts w:hint="eastAsia" w:ascii="黑体" w:hAnsi="黑体" w:eastAsia="黑体" w:cs="黑体"/>
          <w:b w:val="0"/>
          <w:bCs/>
          <w:sz w:val="21"/>
          <w:szCs w:val="21"/>
          <w:u w:val="none"/>
        </w:rPr>
        <w:fldChar w:fldCharType="separate"/>
      </w:r>
      <w:r>
        <w:rPr>
          <w:rFonts w:hint="eastAsia" w:ascii="黑体" w:hAnsi="黑体" w:eastAsia="黑体" w:cs="黑体"/>
          <w:b w:val="0"/>
          <w:bCs/>
          <w:sz w:val="21"/>
          <w:szCs w:val="21"/>
          <w:u w:val="none"/>
        </w:rPr>
        <w:t>30</w:t>
      </w:r>
      <w:r>
        <w:rPr>
          <w:rFonts w:hint="eastAsia" w:ascii="黑体" w:hAnsi="黑体" w:eastAsia="黑体" w:cs="黑体"/>
          <w:b w:val="0"/>
          <w:bCs/>
          <w:sz w:val="21"/>
          <w:szCs w:val="21"/>
          <w:u w:val="none"/>
        </w:rPr>
        <w:fldChar w:fldCharType="end"/>
      </w:r>
      <w:r>
        <w:rPr>
          <w:rFonts w:hint="eastAsia" w:ascii="黑体" w:hAnsi="黑体" w:eastAsia="黑体" w:cs="黑体"/>
          <w:b w:val="0"/>
          <w:bCs/>
          <w:sz w:val="21"/>
          <w:szCs w:val="21"/>
          <w:u w:val="none"/>
        </w:rPr>
        <w:fldChar w:fldCharType="end"/>
      </w:r>
    </w:p>
    <w:p>
      <w:pPr>
        <w:pStyle w:val="34"/>
        <w:tabs>
          <w:tab w:val="right" w:leader="dot" w:pos="9070"/>
        </w:tabs>
        <w:rPr>
          <w:rFonts w:hint="eastAsia"/>
          <w:u w:val="none"/>
        </w:rPr>
      </w:pPr>
      <w:r>
        <w:rPr>
          <w:rFonts w:hint="eastAsia"/>
          <w:b/>
          <w:u w:val="none"/>
        </w:rPr>
        <w:fldChar w:fldCharType="end"/>
      </w:r>
    </w:p>
    <w:p>
      <w:pPr>
        <w:rPr>
          <w:rFonts w:hint="eastAsia"/>
          <w:u w:val="none"/>
        </w:rPr>
      </w:pPr>
      <w:r>
        <w:rPr>
          <w:rFonts w:hint="eastAsia"/>
          <w:b/>
          <w:u w:val="none"/>
        </w:rPr>
        <w:fldChar w:fldCharType="end"/>
      </w: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bookmarkStart w:id="0" w:name="_Toc29390"/>
      <w:bookmarkStart w:id="1" w:name="_Toc8912"/>
      <w:bookmarkStart w:id="2" w:name="_Toc19843"/>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sectPr>
          <w:footerReference r:id="rId11" w:type="default"/>
          <w:footerReference r:id="rId12" w:type="even"/>
          <w:pgSz w:w="11906" w:h="16838"/>
          <w:pgMar w:top="1417" w:right="1417" w:bottom="1417" w:left="1417" w:header="851" w:footer="992" w:gutter="0"/>
          <w:pgNumType w:fmt="decimal" w:start="1"/>
          <w:cols w:space="720" w:num="1"/>
          <w:docGrid w:type="lines" w:linePitch="312" w:charSpace="0"/>
        </w:sectPr>
      </w:pPr>
    </w:p>
    <w:p>
      <w:pPr>
        <w:overflowPunct w:val="0"/>
        <w:adjustRightInd w:val="0"/>
        <w:snapToGrid w:val="0"/>
        <w:spacing w:line="420" w:lineRule="exact"/>
        <w:ind w:firstLine="803"/>
        <w:jc w:val="center"/>
        <w:outlineLvl w:val="9"/>
        <w:rPr>
          <w:rFonts w:hint="eastAsia" w:ascii="黑体" w:hAnsi="黑体" w:eastAsia="黑体" w:cs="黑体"/>
          <w:b/>
          <w:bCs/>
          <w:sz w:val="40"/>
          <w:szCs w:val="40"/>
          <w:u w:val="none"/>
        </w:rPr>
      </w:pPr>
      <w:r>
        <w:rPr>
          <w:rFonts w:hint="eastAsia" w:ascii="黑体" w:hAnsi="黑体" w:eastAsia="黑体" w:cs="黑体"/>
          <w:b/>
          <w:bCs/>
          <w:sz w:val="40"/>
          <w:szCs w:val="40"/>
          <w:u w:val="none"/>
        </w:rPr>
        <w:t>建筑经济信息化管理专业人才培养方案</w:t>
      </w:r>
      <w:bookmarkEnd w:id="0"/>
      <w:bookmarkEnd w:id="1"/>
      <w:bookmarkEnd w:id="2"/>
    </w:p>
    <w:p>
      <w:pPr>
        <w:adjustRightInd w:val="0"/>
        <w:snapToGrid w:val="0"/>
        <w:ind w:firstLine="480"/>
        <w:rPr>
          <w:rFonts w:hint="eastAsia" w:ascii="宋体" w:hAnsi="宋体" w:cs="宋体"/>
          <w:szCs w:val="24"/>
          <w:u w:val="none"/>
        </w:rPr>
      </w:pPr>
    </w:p>
    <w:p>
      <w:pPr>
        <w:ind w:firstLine="480"/>
        <w:rPr>
          <w:rFonts w:hint="eastAsia" w:ascii="宋体" w:hAnsi="宋体" w:cs="宋体"/>
          <w:szCs w:val="24"/>
          <w:u w:val="none"/>
        </w:rPr>
      </w:pPr>
      <w:r>
        <w:rPr>
          <w:rFonts w:hint="eastAsia" w:ascii="宋体" w:hAnsi="宋体" w:cs="宋体"/>
          <w:szCs w:val="24"/>
          <w:u w:val="none"/>
        </w:rPr>
        <w:t>建筑经济信息化管理专业人才培养方案是建筑经济信息化管理专业的基本教学文件，适用于学院高等职业教育（专科）建筑经济信息化管理专业。它是建筑经济信息化管理专业组织开展专业教学活动、实施专业人才培养、进行专业建设和开展质量评价的基本依据。</w:t>
      </w:r>
    </w:p>
    <w:p>
      <w:pPr>
        <w:ind w:firstLine="480"/>
        <w:rPr>
          <w:rFonts w:hint="eastAsia" w:ascii="宋体" w:hAnsi="宋体" w:cs="宋体"/>
          <w:szCs w:val="24"/>
          <w:u w:val="none"/>
        </w:rPr>
      </w:pPr>
      <w:r>
        <w:rPr>
          <w:rFonts w:hint="eastAsia" w:ascii="宋体" w:hAnsi="宋体" w:cs="宋体"/>
          <w:szCs w:val="24"/>
          <w:u w:val="none"/>
        </w:rPr>
        <w:t>本方案的制定依据教育部《高等职业学校专业教学标准（试行）：土木建筑大类》，由建筑经济信息化管理专业教学团队调研起草、专业建设委员会论证﹑系党政联席会审核﹑学院教学工作委员会（学术委员会）评议﹑学院院长办公会</w:t>
      </w:r>
      <w:r>
        <w:rPr>
          <w:rFonts w:hint="eastAsia" w:ascii="宋体" w:hAnsi="宋体" w:cs="宋体"/>
          <w:szCs w:val="24"/>
          <w:u w:val="none"/>
          <w:lang w:eastAsia="zh-CN"/>
        </w:rPr>
        <w:t>审议</w:t>
      </w:r>
      <w:r>
        <w:rPr>
          <w:rFonts w:hint="eastAsia" w:ascii="宋体" w:hAnsi="宋体" w:cs="宋体"/>
          <w:szCs w:val="24"/>
          <w:u w:val="none"/>
        </w:rPr>
        <w:t>和党委会审定后发布实施。</w:t>
      </w:r>
    </w:p>
    <w:p>
      <w:pPr>
        <w:pStyle w:val="3"/>
        <w:ind w:firstLine="562"/>
        <w:rPr>
          <w:rFonts w:hint="eastAsia" w:ascii="黑体" w:hAnsi="黑体" w:cs="黑体"/>
          <w:u w:val="none"/>
        </w:rPr>
      </w:pPr>
      <w:bookmarkStart w:id="3" w:name="_Toc8409"/>
      <w:bookmarkStart w:id="4" w:name="_Toc11270"/>
      <w:bookmarkStart w:id="5" w:name="_Toc3476"/>
      <w:bookmarkStart w:id="6" w:name="_Toc9301"/>
      <w:bookmarkStart w:id="7" w:name="_Toc23621"/>
      <w:r>
        <w:rPr>
          <w:rFonts w:hint="eastAsia" w:ascii="黑体" w:hAnsi="黑体" w:cs="黑体"/>
          <w:u w:val="none"/>
        </w:rPr>
        <w:t>一、专业名称及代码</w:t>
      </w:r>
      <w:bookmarkEnd w:id="3"/>
      <w:bookmarkEnd w:id="4"/>
      <w:bookmarkEnd w:id="5"/>
      <w:bookmarkEnd w:id="6"/>
      <w:bookmarkEnd w:id="7"/>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专业名称：建筑经济信息化管理</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专业代码：4</w:t>
      </w:r>
      <w:r>
        <w:rPr>
          <w:rFonts w:ascii="宋体" w:hAnsi="宋体" w:eastAsia="宋体"/>
          <w:szCs w:val="24"/>
          <w:u w:val="none"/>
        </w:rPr>
        <w:t>4050</w:t>
      </w:r>
      <w:r>
        <w:rPr>
          <w:rFonts w:hint="eastAsia" w:ascii="宋体" w:hAnsi="宋体" w:eastAsia="宋体"/>
          <w:szCs w:val="24"/>
          <w:u w:val="none"/>
        </w:rPr>
        <w:t>3</w:t>
      </w:r>
    </w:p>
    <w:p>
      <w:pPr>
        <w:pStyle w:val="3"/>
        <w:ind w:firstLine="562"/>
        <w:rPr>
          <w:rFonts w:hint="eastAsia" w:ascii="黑体" w:hAnsi="黑体" w:cs="黑体"/>
          <w:u w:val="none"/>
          <w:lang w:eastAsia="zh-CN"/>
        </w:rPr>
      </w:pPr>
      <w:bookmarkStart w:id="8" w:name="_Toc22531"/>
      <w:bookmarkStart w:id="9" w:name="_Toc23740"/>
      <w:bookmarkStart w:id="10" w:name="_Toc20421"/>
      <w:bookmarkStart w:id="11" w:name="_Toc26788"/>
      <w:bookmarkStart w:id="12" w:name="_Toc24655"/>
      <w:r>
        <w:rPr>
          <w:rFonts w:hint="eastAsia" w:ascii="黑体" w:hAnsi="黑体" w:cs="黑体"/>
          <w:u w:val="none"/>
        </w:rPr>
        <w:t>二、入学要求</w:t>
      </w:r>
      <w:r>
        <w:rPr>
          <w:rFonts w:hint="eastAsia" w:ascii="黑体" w:hAnsi="黑体" w:cs="黑体"/>
          <w:u w:val="none"/>
          <w:lang w:eastAsia="zh-CN"/>
        </w:rPr>
        <w:t>（招生对象）</w:t>
      </w:r>
      <w:bookmarkEnd w:id="8"/>
      <w:bookmarkEnd w:id="9"/>
      <w:bookmarkEnd w:id="10"/>
      <w:bookmarkEnd w:id="11"/>
      <w:bookmarkEnd w:id="12"/>
    </w:p>
    <w:p>
      <w:pPr>
        <w:pStyle w:val="7"/>
        <w:spacing w:before="0" w:beforeAutospacing="0" w:after="0" w:afterAutospacing="0"/>
        <w:rPr>
          <w:rFonts w:hint="eastAsia" w:eastAsia="宋体"/>
          <w:u w:val="none"/>
          <w:lang w:eastAsia="zh-CN"/>
        </w:rPr>
      </w:pPr>
      <w:bookmarkStart w:id="13" w:name="_Toc8306"/>
      <w:bookmarkStart w:id="14" w:name="_Toc15492"/>
      <w:bookmarkStart w:id="15" w:name="_Toc26372"/>
      <w:bookmarkStart w:id="16" w:name="_Toc28889"/>
      <w:bookmarkStart w:id="17" w:name="_Toc15877"/>
      <w:r>
        <w:rPr>
          <w:rFonts w:hint="eastAsia" w:ascii="宋体" w:hAnsi="宋体" w:eastAsia="宋体" w:cs="宋体"/>
          <w:szCs w:val="24"/>
          <w:u w:val="none"/>
          <w:lang w:val="en-US" w:eastAsia="zh-CN"/>
        </w:rPr>
        <w:t>高等职业院校分类考试招生对象：应历届普通高中毕业生、中职学校毕业生、中等技工学校毕业生，具有高中阶段学历或同等学力及以上的退役军人、下岗职工、农民工、高素质农民等。</w:t>
      </w:r>
    </w:p>
    <w:p>
      <w:pPr>
        <w:pStyle w:val="3"/>
        <w:ind w:firstLine="562"/>
        <w:rPr>
          <w:rFonts w:hint="eastAsia" w:ascii="黑体" w:hAnsi="黑体" w:cs="黑体"/>
          <w:u w:val="none"/>
        </w:rPr>
      </w:pPr>
      <w:r>
        <w:rPr>
          <w:rFonts w:hint="eastAsia" w:ascii="黑体" w:hAnsi="黑体" w:cs="黑体"/>
          <w:u w:val="none"/>
        </w:rPr>
        <w:t>三、修业年限</w:t>
      </w:r>
      <w:bookmarkEnd w:id="13"/>
      <w:bookmarkEnd w:id="14"/>
      <w:bookmarkEnd w:id="15"/>
      <w:bookmarkEnd w:id="16"/>
      <w:bookmarkEnd w:id="17"/>
    </w:p>
    <w:p>
      <w:pPr>
        <w:adjustRightInd w:val="0"/>
        <w:snapToGrid w:val="0"/>
        <w:ind w:firstLine="480"/>
        <w:rPr>
          <w:rFonts w:hint="eastAsia" w:eastAsia="宋体"/>
          <w:u w:val="none"/>
          <w:lang w:eastAsia="zh-CN"/>
        </w:rPr>
      </w:pPr>
      <w:r>
        <w:rPr>
          <w:rFonts w:hint="eastAsia"/>
          <w:u w:val="none"/>
        </w:rPr>
        <w:t>学制</w:t>
      </w:r>
      <w:r>
        <w:rPr>
          <w:rFonts w:hint="eastAsia"/>
          <w:u w:val="none"/>
          <w:lang w:eastAsia="zh-CN"/>
        </w:rPr>
        <w:t>：</w:t>
      </w:r>
      <w:r>
        <w:rPr>
          <w:rFonts w:hint="eastAsia"/>
          <w:u w:val="none"/>
        </w:rPr>
        <w:t>3年</w:t>
      </w:r>
      <w:r>
        <w:rPr>
          <w:rFonts w:hint="eastAsia"/>
          <w:u w:val="none"/>
          <w:lang w:eastAsia="zh-CN"/>
        </w:rPr>
        <w:t>。</w:t>
      </w:r>
    </w:p>
    <w:p>
      <w:pPr>
        <w:pStyle w:val="3"/>
        <w:ind w:firstLine="562"/>
        <w:rPr>
          <w:rFonts w:hint="eastAsia" w:ascii="黑体" w:hAnsi="黑体" w:cs="黑体"/>
          <w:u w:val="none"/>
        </w:rPr>
      </w:pPr>
      <w:bookmarkStart w:id="18" w:name="_Toc320"/>
      <w:bookmarkStart w:id="19" w:name="_Toc22823"/>
      <w:bookmarkStart w:id="20" w:name="_Toc3947"/>
      <w:bookmarkStart w:id="21" w:name="_Toc659"/>
      <w:bookmarkStart w:id="22" w:name="_Toc929"/>
      <w:r>
        <w:rPr>
          <w:rFonts w:hint="eastAsia" w:ascii="黑体" w:hAnsi="黑体" w:cs="黑体"/>
          <w:u w:val="none"/>
        </w:rPr>
        <w:t>四、职业面向</w:t>
      </w:r>
      <w:bookmarkEnd w:id="18"/>
      <w:bookmarkEnd w:id="19"/>
      <w:bookmarkEnd w:id="20"/>
      <w:bookmarkEnd w:id="21"/>
      <w:bookmarkEnd w:id="22"/>
    </w:p>
    <w:p>
      <w:pPr>
        <w:pStyle w:val="36"/>
        <w:adjustRightInd w:val="0"/>
        <w:snapToGrid w:val="0"/>
        <w:ind w:firstLine="480"/>
        <w:rPr>
          <w:rFonts w:hint="eastAsia" w:ascii="黑体" w:hAnsi="黑体" w:eastAsia="黑体" w:cs="黑体"/>
          <w:b/>
          <w:sz w:val="21"/>
          <w:u w:val="none"/>
        </w:rPr>
      </w:pPr>
      <w:r>
        <w:rPr>
          <w:u w:val="none"/>
        </w:rPr>
        <w:t>本专业主要面向现代工程管理</w:t>
      </w:r>
      <w:r>
        <w:rPr>
          <w:rFonts w:hint="eastAsia"/>
          <w:u w:val="none"/>
        </w:rPr>
        <w:t>，</w:t>
      </w:r>
      <w:r>
        <w:rPr>
          <w:u w:val="none"/>
        </w:rPr>
        <w:t>从事项目策划与分析、项目前期工作、项目发包管理、施工管理、运营与维护管理、项目后评估</w:t>
      </w:r>
      <w:r>
        <w:rPr>
          <w:rFonts w:hint="eastAsia"/>
          <w:u w:val="none"/>
        </w:rPr>
        <w:t>、</w:t>
      </w:r>
      <w:r>
        <w:rPr>
          <w:u w:val="none"/>
        </w:rPr>
        <w:t>开发报建手续办理、项目估价及工程概预算、项目招投标及合同管理、项目工程管理、项目营销、物业管理</w:t>
      </w:r>
      <w:r>
        <w:rPr>
          <w:rFonts w:hint="eastAsia"/>
          <w:u w:val="none"/>
        </w:rPr>
        <w:t>等</w:t>
      </w:r>
      <w:r>
        <w:rPr>
          <w:u w:val="none"/>
        </w:rPr>
        <w:t>工作</w:t>
      </w:r>
      <w:r>
        <w:rPr>
          <w:rFonts w:hint="eastAsia"/>
          <w:u w:val="none"/>
        </w:rPr>
        <w:t>。具体从事的就业岗位如下表4-1：</w:t>
      </w:r>
    </w:p>
    <w:p>
      <w:pPr>
        <w:adjustRightInd w:val="0"/>
        <w:snapToGrid w:val="0"/>
        <w:ind w:firstLine="422"/>
        <w:jc w:val="center"/>
        <w:rPr>
          <w:rFonts w:hint="eastAsia" w:ascii="黑体" w:hAnsi="黑体" w:eastAsia="黑体" w:cs="黑体"/>
          <w:b/>
          <w:sz w:val="21"/>
          <w:szCs w:val="21"/>
          <w:u w:val="none"/>
        </w:rPr>
      </w:pPr>
    </w:p>
    <w:p>
      <w:pPr>
        <w:adjustRightInd w:val="0"/>
        <w:snapToGrid w:val="0"/>
        <w:ind w:firstLine="422"/>
        <w:jc w:val="center"/>
        <w:rPr>
          <w:rFonts w:hint="eastAsia" w:ascii="黑体" w:hAnsi="黑体" w:eastAsia="黑体" w:cs="黑体"/>
          <w:b/>
          <w:sz w:val="21"/>
          <w:szCs w:val="21"/>
          <w:u w:val="none"/>
        </w:rPr>
      </w:pPr>
    </w:p>
    <w:p>
      <w:pPr>
        <w:adjustRightInd w:val="0"/>
        <w:snapToGrid w:val="0"/>
        <w:ind w:firstLine="422"/>
        <w:jc w:val="center"/>
        <w:rPr>
          <w:rFonts w:hint="eastAsia" w:ascii="黑体" w:hAnsi="黑体" w:eastAsia="黑体" w:cs="黑体"/>
          <w:b/>
          <w:sz w:val="21"/>
          <w:szCs w:val="21"/>
          <w:u w:val="none"/>
        </w:rPr>
      </w:pPr>
    </w:p>
    <w:p>
      <w:pPr>
        <w:adjustRightInd w:val="0"/>
        <w:snapToGrid w:val="0"/>
        <w:ind w:firstLine="422"/>
        <w:jc w:val="center"/>
        <w:rPr>
          <w:rFonts w:hint="eastAsia" w:ascii="黑体" w:hAnsi="黑体" w:eastAsia="黑体" w:cs="黑体"/>
          <w:b/>
          <w:sz w:val="21"/>
          <w:szCs w:val="21"/>
          <w:u w:val="none"/>
        </w:rPr>
      </w:pPr>
    </w:p>
    <w:p>
      <w:pPr>
        <w:adjustRightInd w:val="0"/>
        <w:snapToGrid w:val="0"/>
        <w:ind w:firstLine="422"/>
        <w:jc w:val="center"/>
        <w:rPr>
          <w:rFonts w:hint="eastAsia" w:ascii="黑体" w:hAnsi="黑体" w:eastAsia="黑体" w:cs="黑体"/>
          <w:b/>
          <w:sz w:val="21"/>
          <w:szCs w:val="21"/>
          <w:u w:val="none"/>
        </w:rPr>
      </w:pPr>
    </w:p>
    <w:p>
      <w:pPr>
        <w:adjustRightInd w:val="0"/>
        <w:snapToGrid w:val="0"/>
        <w:ind w:left="0" w:leftChars="0" w:firstLine="0" w:firstLineChars="0"/>
        <w:jc w:val="center"/>
        <w:rPr>
          <w:rFonts w:hint="eastAsia"/>
          <w:b/>
          <w:szCs w:val="24"/>
          <w:u w:val="none"/>
        </w:rPr>
      </w:pPr>
      <w:r>
        <w:rPr>
          <w:rFonts w:hint="eastAsia" w:ascii="黑体" w:hAnsi="黑体" w:eastAsia="黑体" w:cs="黑体"/>
          <w:b/>
          <w:sz w:val="21"/>
          <w:szCs w:val="21"/>
          <w:u w:val="none"/>
        </w:rPr>
        <w:t>表4-1  建筑经济信息化</w:t>
      </w:r>
      <w:r>
        <w:rPr>
          <w:rFonts w:hint="eastAsia" w:ascii="黑体" w:hAnsi="黑体" w:eastAsia="黑体" w:cs="黑体"/>
          <w:b/>
          <w:sz w:val="21"/>
          <w:szCs w:val="21"/>
          <w:u w:val="none"/>
          <w:lang w:eastAsia="zh-CN"/>
        </w:rPr>
        <w:t>管理</w:t>
      </w:r>
      <w:r>
        <w:rPr>
          <w:rFonts w:hint="eastAsia" w:ascii="黑体" w:hAnsi="黑体" w:eastAsia="黑体" w:cs="黑体"/>
          <w:b/>
          <w:sz w:val="21"/>
          <w:szCs w:val="21"/>
          <w:u w:val="none"/>
        </w:rPr>
        <w:t>专业职业面向</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05"/>
        <w:gridCol w:w="1005"/>
        <w:gridCol w:w="2640"/>
        <w:gridCol w:w="1290"/>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010" w:type="dxa"/>
            <w:noWrap w:val="0"/>
            <w:vAlign w:val="center"/>
          </w:tcPr>
          <w:p>
            <w:pPr>
              <w:widowControl/>
              <w:spacing w:line="240" w:lineRule="auto"/>
              <w:ind w:firstLine="0" w:firstLineChars="0"/>
              <w:jc w:val="center"/>
              <w:rPr>
                <w:rFonts w:hint="eastAsia" w:ascii="仿宋" w:hAnsi="仿宋" w:eastAsia="仿宋"/>
                <w:b/>
                <w:bCs/>
                <w:color w:val="000000"/>
                <w:sz w:val="21"/>
                <w:u w:val="none"/>
              </w:rPr>
            </w:pPr>
            <w:r>
              <w:rPr>
                <w:rFonts w:hint="eastAsia" w:ascii="仿宋" w:hAnsi="仿宋" w:eastAsia="仿宋"/>
                <w:b/>
                <w:bCs/>
                <w:color w:val="000000"/>
                <w:sz w:val="21"/>
                <w:u w:val="none"/>
              </w:rPr>
              <w:t>所属专业大类</w:t>
            </w:r>
          </w:p>
          <w:p>
            <w:pPr>
              <w:widowControl/>
              <w:spacing w:line="240" w:lineRule="auto"/>
              <w:ind w:firstLine="0" w:firstLineChars="0"/>
              <w:jc w:val="center"/>
              <w:rPr>
                <w:rFonts w:hint="eastAsia" w:ascii="仿宋" w:hAnsi="仿宋" w:eastAsia="仿宋"/>
                <w:b/>
                <w:bCs/>
                <w:color w:val="000000"/>
                <w:sz w:val="21"/>
                <w:u w:val="none"/>
              </w:rPr>
            </w:pPr>
            <w:r>
              <w:rPr>
                <w:rFonts w:hint="eastAsia" w:ascii="仿宋" w:hAnsi="仿宋" w:eastAsia="仿宋"/>
                <w:b/>
                <w:bCs/>
                <w:color w:val="000000"/>
                <w:sz w:val="21"/>
                <w:u w:val="none"/>
              </w:rPr>
              <w:t>（代码）</w:t>
            </w:r>
          </w:p>
        </w:tc>
        <w:tc>
          <w:tcPr>
            <w:tcW w:w="1005" w:type="dxa"/>
            <w:noWrap w:val="0"/>
            <w:vAlign w:val="center"/>
          </w:tcPr>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所属专</w:t>
            </w:r>
          </w:p>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业类</w:t>
            </w:r>
          </w:p>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Cs/>
                <w:kern w:val="0"/>
                <w:sz w:val="21"/>
                <w:szCs w:val="21"/>
                <w:u w:val="none"/>
              </w:rPr>
              <w:t>（代码）</w:t>
            </w:r>
          </w:p>
        </w:tc>
        <w:tc>
          <w:tcPr>
            <w:tcW w:w="1005" w:type="dxa"/>
            <w:noWrap w:val="0"/>
            <w:vAlign w:val="center"/>
          </w:tcPr>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对应行业</w:t>
            </w:r>
          </w:p>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Cs/>
                <w:kern w:val="0"/>
                <w:sz w:val="21"/>
                <w:szCs w:val="21"/>
                <w:u w:val="none"/>
              </w:rPr>
              <w:t>（代码）</w:t>
            </w:r>
          </w:p>
        </w:tc>
        <w:tc>
          <w:tcPr>
            <w:tcW w:w="2640" w:type="dxa"/>
            <w:tcBorders>
              <w:bottom w:val="single" w:color="auto" w:sz="4" w:space="0"/>
            </w:tcBorders>
            <w:noWrap w:val="0"/>
            <w:vAlign w:val="center"/>
          </w:tcPr>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主要职业</w:t>
            </w:r>
          </w:p>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类别</w:t>
            </w:r>
          </w:p>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Cs/>
                <w:kern w:val="0"/>
                <w:sz w:val="21"/>
                <w:szCs w:val="21"/>
                <w:u w:val="none"/>
              </w:rPr>
              <w:t>（代码）</w:t>
            </w:r>
          </w:p>
        </w:tc>
        <w:tc>
          <w:tcPr>
            <w:tcW w:w="1290" w:type="dxa"/>
            <w:tcBorders>
              <w:bottom w:val="single" w:color="auto" w:sz="4" w:space="0"/>
            </w:tcBorders>
            <w:noWrap w:val="0"/>
            <w:vAlign w:val="center"/>
          </w:tcPr>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主要岗位群类别(或技术领域)举例</w:t>
            </w:r>
          </w:p>
          <w:p>
            <w:pPr>
              <w:adjustRightInd w:val="0"/>
              <w:snapToGrid w:val="0"/>
              <w:spacing w:line="240" w:lineRule="auto"/>
              <w:ind w:firstLine="0" w:firstLineChars="0"/>
              <w:jc w:val="center"/>
              <w:rPr>
                <w:rFonts w:hint="eastAsia" w:ascii="仿宋" w:hAnsi="仿宋" w:eastAsia="仿宋" w:cs="仿宋"/>
                <w:b/>
                <w:sz w:val="21"/>
                <w:szCs w:val="21"/>
                <w:u w:val="none"/>
              </w:rPr>
            </w:pPr>
          </w:p>
        </w:tc>
        <w:tc>
          <w:tcPr>
            <w:tcW w:w="2284" w:type="dxa"/>
            <w:tcBorders>
              <w:bottom w:val="single" w:color="auto" w:sz="4" w:space="0"/>
            </w:tcBorders>
            <w:noWrap w:val="0"/>
            <w:vAlign w:val="center"/>
          </w:tcPr>
          <w:p>
            <w:pPr>
              <w:adjustRightInd w:val="0"/>
              <w:snapToGrid w:val="0"/>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职业技能等级证书、社会认可度高的行业企业标准和证书﹑1+X证书举例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1010" w:type="dxa"/>
            <w:noWrap w:val="0"/>
            <w:vAlign w:val="center"/>
          </w:tcPr>
          <w:p>
            <w:pPr>
              <w:adjustRightInd w:val="0"/>
              <w:snapToGrid w:val="0"/>
              <w:spacing w:line="240" w:lineRule="auto"/>
              <w:ind w:firstLine="420"/>
              <w:jc w:val="center"/>
              <w:rPr>
                <w:rFonts w:hint="eastAsia" w:ascii="仿宋" w:hAnsi="仿宋" w:eastAsia="仿宋" w:cs="仿宋"/>
                <w:sz w:val="21"/>
                <w:szCs w:val="21"/>
                <w:u w:val="none"/>
              </w:rPr>
            </w:pPr>
          </w:p>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土木建筑</w:t>
            </w:r>
          </w:p>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（44）</w:t>
            </w:r>
          </w:p>
          <w:p>
            <w:pPr>
              <w:adjustRightInd w:val="0"/>
              <w:snapToGrid w:val="0"/>
              <w:spacing w:line="240" w:lineRule="auto"/>
              <w:ind w:firstLine="422"/>
              <w:jc w:val="center"/>
              <w:rPr>
                <w:rFonts w:hint="eastAsia" w:ascii="仿宋" w:hAnsi="仿宋" w:eastAsia="仿宋" w:cs="仿宋"/>
                <w:b/>
                <w:sz w:val="21"/>
                <w:szCs w:val="21"/>
                <w:u w:val="none"/>
              </w:rPr>
            </w:pPr>
          </w:p>
        </w:tc>
        <w:tc>
          <w:tcPr>
            <w:tcW w:w="1005"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sz w:val="21"/>
                <w:szCs w:val="21"/>
                <w:u w:val="none"/>
              </w:rPr>
              <w:t>建设工程管理类（44</w:t>
            </w:r>
            <w:r>
              <w:rPr>
                <w:rFonts w:ascii="仿宋" w:hAnsi="仿宋" w:eastAsia="仿宋"/>
                <w:sz w:val="21"/>
                <w:szCs w:val="21"/>
                <w:u w:val="none"/>
              </w:rPr>
              <w:t>05</w:t>
            </w:r>
            <w:r>
              <w:rPr>
                <w:rFonts w:hint="eastAsia" w:ascii="仿宋" w:hAnsi="仿宋" w:eastAsia="仿宋"/>
                <w:sz w:val="21"/>
                <w:szCs w:val="21"/>
                <w:u w:val="none"/>
              </w:rPr>
              <w:t>）</w:t>
            </w:r>
          </w:p>
        </w:tc>
        <w:tc>
          <w:tcPr>
            <w:tcW w:w="1005" w:type="dxa"/>
            <w:tcBorders>
              <w:right w:val="single" w:color="auto" w:sz="4" w:space="0"/>
            </w:tcBorders>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房屋建筑业（4700）</w:t>
            </w:r>
          </w:p>
        </w:tc>
        <w:tc>
          <w:tcPr>
            <w:tcW w:w="2640" w:type="dxa"/>
            <w:tcBorders>
              <w:top w:val="single" w:color="auto" w:sz="4" w:space="0"/>
              <w:left w:val="single" w:color="auto" w:sz="4" w:space="0"/>
            </w:tcBorders>
            <w:noWrap w:val="0"/>
            <w:vAlign w:val="center"/>
          </w:tcPr>
          <w:p>
            <w:pPr>
              <w:adjustRightInd w:val="0"/>
              <w:snapToGrid w:val="0"/>
              <w:spacing w:line="240" w:lineRule="auto"/>
              <w:ind w:firstLine="0" w:firstLineChars="0"/>
              <w:jc w:val="center"/>
              <w:rPr>
                <w:rFonts w:hint="eastAsia" w:ascii="仿宋" w:hAnsi="仿宋" w:eastAsia="仿宋" w:cs="仿宋"/>
                <w:color w:val="000000"/>
                <w:sz w:val="21"/>
                <w:szCs w:val="21"/>
                <w:u w:val="none"/>
              </w:rPr>
            </w:pPr>
            <w:r>
              <w:rPr>
                <w:rFonts w:hint="eastAsia" w:ascii="仿宋" w:hAnsi="仿宋" w:eastAsia="仿宋" w:cs="仿宋"/>
                <w:color w:val="000000"/>
                <w:sz w:val="21"/>
                <w:szCs w:val="21"/>
                <w:u w:val="none"/>
              </w:rPr>
              <w:t>建筑工程技术人员 2-02-21（GBM1-53）</w:t>
            </w:r>
          </w:p>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color w:val="000000"/>
                <w:sz w:val="21"/>
                <w:szCs w:val="21"/>
                <w:u w:val="none"/>
              </w:rPr>
              <w:t>建材工程技术人员2-02-22（GBM1-54）</w:t>
            </w:r>
          </w:p>
          <w:p>
            <w:pPr>
              <w:adjustRightInd w:val="0"/>
              <w:snapToGrid w:val="0"/>
              <w:spacing w:line="240" w:lineRule="auto"/>
              <w:ind w:firstLine="0" w:firstLineChars="0"/>
              <w:jc w:val="center"/>
              <w:rPr>
                <w:rFonts w:hint="eastAsia" w:ascii="仿宋" w:hAnsi="仿宋" w:eastAsia="仿宋" w:cs="仿宋"/>
                <w:color w:val="000000"/>
                <w:sz w:val="21"/>
                <w:szCs w:val="21"/>
                <w:u w:val="none"/>
              </w:rPr>
            </w:pPr>
            <w:r>
              <w:rPr>
                <w:rFonts w:hint="eastAsia" w:ascii="仿宋" w:hAnsi="仿宋" w:eastAsia="仿宋" w:cs="仿宋"/>
                <w:color w:val="000000"/>
                <w:sz w:val="21"/>
                <w:szCs w:val="21"/>
                <w:u w:val="none"/>
              </w:rPr>
              <w:t>标准化、计量、质量工程技术人员</w:t>
            </w:r>
          </w:p>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color w:val="000000"/>
                <w:sz w:val="21"/>
                <w:szCs w:val="21"/>
                <w:u w:val="none"/>
              </w:rPr>
              <w:t>2-02-33（GBM1-66）</w:t>
            </w:r>
          </w:p>
          <w:p>
            <w:pPr>
              <w:adjustRightInd w:val="0"/>
              <w:snapToGrid w:val="0"/>
              <w:spacing w:line="240" w:lineRule="auto"/>
              <w:ind w:firstLine="0" w:firstLineChars="0"/>
              <w:jc w:val="center"/>
              <w:rPr>
                <w:rFonts w:hint="eastAsia" w:ascii="仿宋" w:hAnsi="仿宋" w:eastAsia="仿宋" w:cs="仿宋"/>
                <w:color w:val="000000"/>
                <w:sz w:val="21"/>
                <w:szCs w:val="21"/>
                <w:u w:val="none"/>
              </w:rPr>
            </w:pPr>
            <w:r>
              <w:rPr>
                <w:rFonts w:hint="eastAsia" w:ascii="仿宋" w:hAnsi="仿宋" w:eastAsia="仿宋" w:cs="仿宋"/>
                <w:color w:val="000000"/>
                <w:sz w:val="21"/>
                <w:szCs w:val="21"/>
                <w:u w:val="none"/>
              </w:rPr>
              <w:t>管理（工业）工程技术人员</w:t>
            </w:r>
          </w:p>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color w:val="000000"/>
                <w:sz w:val="21"/>
                <w:szCs w:val="21"/>
                <w:u w:val="none"/>
              </w:rPr>
              <w:t>2-02-34（GBM1-67）</w:t>
            </w:r>
          </w:p>
        </w:tc>
        <w:tc>
          <w:tcPr>
            <w:tcW w:w="1290" w:type="dxa"/>
            <w:tcBorders>
              <w:top w:val="single" w:color="auto" w:sz="4" w:space="0"/>
            </w:tcBorders>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工程审计、</w:t>
            </w:r>
          </w:p>
          <w:p>
            <w:pPr>
              <w:adjustRightInd w:val="0"/>
              <w:snapToGrid w:val="0"/>
              <w:spacing w:line="240" w:lineRule="auto"/>
              <w:ind w:firstLine="0" w:firstLineChars="0"/>
              <w:rPr>
                <w:rFonts w:hint="eastAsia" w:ascii="仿宋" w:hAnsi="仿宋" w:eastAsia="仿宋" w:cs="仿宋"/>
                <w:sz w:val="21"/>
                <w:szCs w:val="21"/>
                <w:u w:val="none"/>
              </w:rPr>
            </w:pPr>
            <w:r>
              <w:rPr>
                <w:rFonts w:hint="eastAsia" w:ascii="仿宋" w:hAnsi="仿宋" w:eastAsia="仿宋" w:cs="仿宋"/>
                <w:sz w:val="21"/>
                <w:szCs w:val="21"/>
                <w:u w:val="none"/>
              </w:rPr>
              <w:t>造价员、建设单位成本核算、项目管理</w:t>
            </w:r>
          </w:p>
        </w:tc>
        <w:tc>
          <w:tcPr>
            <w:tcW w:w="2284" w:type="dxa"/>
            <w:tcBorders>
              <w:top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rPr>
                <w:rFonts w:hint="eastAsia" w:ascii="仿宋" w:hAnsi="仿宋" w:eastAsia="仿宋" w:cs="仿宋"/>
                <w:sz w:val="21"/>
                <w:szCs w:val="21"/>
                <w:u w:val="none"/>
              </w:rPr>
            </w:pPr>
            <w:r>
              <w:rPr>
                <w:rFonts w:hint="eastAsia" w:ascii="仿宋" w:hAnsi="仿宋" w:eastAsia="仿宋" w:cs="仿宋"/>
                <w:sz w:val="21"/>
                <w:szCs w:val="21"/>
                <w:u w:val="none"/>
              </w:rPr>
              <w:t>建造师证、“1+X”“建筑工程识图”职业技能等级证书、“1+X”建筑信息模型（BIM）职业技能等级证书、审计师</w:t>
            </w:r>
          </w:p>
        </w:tc>
      </w:tr>
    </w:tbl>
    <w:p>
      <w:pPr>
        <w:pStyle w:val="3"/>
        <w:ind w:firstLine="562"/>
        <w:rPr>
          <w:rFonts w:hint="eastAsia" w:ascii="黑体" w:hAnsi="黑体" w:cs="黑体"/>
          <w:u w:val="none"/>
        </w:rPr>
      </w:pPr>
      <w:bookmarkStart w:id="23" w:name="_Toc12257"/>
      <w:bookmarkStart w:id="24" w:name="_Toc9568"/>
      <w:bookmarkStart w:id="25" w:name="_Toc18492"/>
      <w:bookmarkStart w:id="26" w:name="_Toc23846"/>
      <w:bookmarkStart w:id="27" w:name="_Toc19541"/>
      <w:r>
        <w:rPr>
          <w:rFonts w:hint="eastAsia" w:ascii="黑体" w:hAnsi="黑体" w:cs="黑体"/>
          <w:u w:val="none"/>
        </w:rPr>
        <w:t>五、培养目标与培养规格</w:t>
      </w:r>
      <w:bookmarkEnd w:id="23"/>
      <w:bookmarkEnd w:id="24"/>
      <w:bookmarkEnd w:id="25"/>
      <w:bookmarkEnd w:id="26"/>
      <w:bookmarkEnd w:id="27"/>
    </w:p>
    <w:p>
      <w:pPr>
        <w:pStyle w:val="4"/>
        <w:ind w:firstLine="482"/>
        <w:rPr>
          <w:rFonts w:hint="eastAsia"/>
          <w:u w:val="none"/>
        </w:rPr>
      </w:pPr>
      <w:bookmarkStart w:id="28" w:name="_Toc7010"/>
      <w:bookmarkStart w:id="29" w:name="_Toc28716"/>
      <w:bookmarkStart w:id="30" w:name="_Toc12275"/>
      <w:bookmarkStart w:id="31" w:name="_Toc26989"/>
      <w:bookmarkStart w:id="32" w:name="_Toc11901"/>
      <w:r>
        <w:rPr>
          <w:rFonts w:hint="eastAsia"/>
          <w:u w:val="none"/>
        </w:rPr>
        <w:t>（一）培养目标</w:t>
      </w:r>
      <w:bookmarkEnd w:id="28"/>
      <w:bookmarkEnd w:id="29"/>
      <w:bookmarkEnd w:id="30"/>
      <w:bookmarkEnd w:id="31"/>
      <w:bookmarkEnd w:id="32"/>
    </w:p>
    <w:p>
      <w:pPr>
        <w:pStyle w:val="36"/>
        <w:adjustRightInd w:val="0"/>
        <w:snapToGrid w:val="0"/>
        <w:ind w:firstLine="480"/>
        <w:rPr>
          <w:rFonts w:hint="eastAsia"/>
          <w:u w:val="none"/>
        </w:rPr>
      </w:pPr>
      <w:r>
        <w:rPr>
          <w:rFonts w:hint="eastAsia"/>
          <w:u w:val="none"/>
        </w:rPr>
        <w:t>立足安徽面向周边省份，服务于现代工程投资审计、工程项目管理、工程咨询、招标代理、工程监理以及</w:t>
      </w:r>
      <w:r>
        <w:rPr>
          <w:u w:val="none"/>
        </w:rPr>
        <w:t>房地产开发建设管理与经营管理</w:t>
      </w:r>
      <w:r>
        <w:rPr>
          <w:rFonts w:hint="eastAsia"/>
          <w:u w:val="none"/>
        </w:rPr>
        <w:t>等建设领域，</w:t>
      </w:r>
      <w:r>
        <w:rPr>
          <w:u w:val="none"/>
        </w:rPr>
        <w:t>拥有与建筑工程全过程管理相关的经济、管理、法律和土木工程技术基础知识，具备建设项目决策、建设项目可行性研究、工程项目管理、项目后评估</w:t>
      </w:r>
      <w:r>
        <w:rPr>
          <w:rFonts w:hint="eastAsia"/>
          <w:u w:val="none"/>
        </w:rPr>
        <w:t>、BIM建模</w:t>
      </w:r>
      <w:r>
        <w:rPr>
          <w:u w:val="none"/>
        </w:rPr>
        <w:t>等方面专业知识</w:t>
      </w:r>
      <w:r>
        <w:rPr>
          <w:rFonts w:hint="eastAsia"/>
          <w:u w:val="none"/>
        </w:rPr>
        <w:t>的</w:t>
      </w:r>
      <w:r>
        <w:rPr>
          <w:rFonts w:hint="eastAsia" w:ascii="宋体" w:hAnsi="宋体" w:cs="宋体"/>
          <w:bCs/>
          <w:szCs w:val="24"/>
          <w:u w:val="none"/>
        </w:rPr>
        <w:t>高素质技术技能人才，成为德智体美劳全面发展的社会主义建设者和接班人。</w:t>
      </w:r>
    </w:p>
    <w:p>
      <w:pPr>
        <w:pStyle w:val="4"/>
        <w:ind w:firstLine="482"/>
        <w:rPr>
          <w:rFonts w:hint="eastAsia"/>
          <w:u w:val="none"/>
        </w:rPr>
      </w:pPr>
      <w:bookmarkStart w:id="33" w:name="_Toc3401"/>
      <w:bookmarkStart w:id="34" w:name="_Toc726"/>
      <w:bookmarkStart w:id="35" w:name="_Toc13746"/>
      <w:bookmarkStart w:id="36" w:name="_Toc18327"/>
      <w:bookmarkStart w:id="37" w:name="_Toc14009"/>
      <w:r>
        <w:rPr>
          <w:rFonts w:hint="eastAsia"/>
          <w:u w:val="none"/>
        </w:rPr>
        <w:t>（二）培养规格</w:t>
      </w:r>
      <w:bookmarkEnd w:id="33"/>
      <w:bookmarkEnd w:id="34"/>
      <w:bookmarkEnd w:id="35"/>
      <w:bookmarkEnd w:id="36"/>
      <w:bookmarkEnd w:id="37"/>
    </w:p>
    <w:p>
      <w:pPr>
        <w:pStyle w:val="7"/>
        <w:adjustRightInd w:val="0"/>
        <w:snapToGrid w:val="0"/>
        <w:spacing w:before="0" w:beforeAutospacing="0" w:after="0" w:afterAutospacing="0"/>
        <w:rPr>
          <w:rFonts w:ascii="宋体" w:hAnsi="宋体" w:eastAsia="宋体"/>
          <w:szCs w:val="24"/>
          <w:u w:val="none"/>
        </w:rPr>
      </w:pPr>
      <w:r>
        <w:rPr>
          <w:rFonts w:hint="eastAsia" w:ascii="宋体" w:hAnsi="宋体" w:eastAsia="宋体"/>
          <w:szCs w:val="24"/>
          <w:u w:val="none"/>
        </w:rPr>
        <w:t>本专业所培养的人才应具有以下知识结构要求、能力结构要求与素质结构要求。</w:t>
      </w:r>
    </w:p>
    <w:p>
      <w:pPr>
        <w:pStyle w:val="17"/>
        <w:adjustRightInd w:val="0"/>
        <w:snapToGrid w:val="0"/>
        <w:ind w:firstLine="482"/>
        <w:rPr>
          <w:rFonts w:hint="eastAsia" w:ascii="楷体" w:hAnsi="楷体" w:cs="楷体"/>
          <w:sz w:val="24"/>
          <w:szCs w:val="24"/>
          <w:u w:val="none"/>
        </w:rPr>
      </w:pPr>
      <w:bookmarkStart w:id="38" w:name="_Toc8610"/>
      <w:bookmarkStart w:id="39" w:name="_Toc16867385"/>
      <w:bookmarkStart w:id="40" w:name="_Toc22708"/>
      <w:bookmarkStart w:id="41" w:name="_Toc576_WPSOffice_Level3"/>
      <w:bookmarkStart w:id="42" w:name="_Toc16865425"/>
      <w:bookmarkStart w:id="43" w:name="_Toc18929_WPSOffice_Level3"/>
      <w:bookmarkStart w:id="44" w:name="_Toc29477_WPSOffice_Level3"/>
      <w:bookmarkStart w:id="45" w:name="_Toc24908"/>
      <w:bookmarkStart w:id="46" w:name="_Toc12786_WPSOffice_Level3"/>
      <w:r>
        <w:rPr>
          <w:rFonts w:hint="eastAsia" w:ascii="楷体" w:hAnsi="楷体" w:cs="楷体"/>
          <w:sz w:val="24"/>
          <w:szCs w:val="24"/>
          <w:u w:val="none"/>
        </w:rPr>
        <w:t>1.知识结构要求</w:t>
      </w:r>
      <w:bookmarkEnd w:id="38"/>
      <w:bookmarkEnd w:id="39"/>
      <w:bookmarkEnd w:id="40"/>
      <w:bookmarkEnd w:id="41"/>
      <w:bookmarkEnd w:id="42"/>
      <w:bookmarkEnd w:id="43"/>
      <w:bookmarkEnd w:id="44"/>
      <w:bookmarkEnd w:id="45"/>
      <w:bookmarkEnd w:id="46"/>
    </w:p>
    <w:p>
      <w:pPr>
        <w:pStyle w:val="36"/>
        <w:adjustRightInd w:val="0"/>
        <w:snapToGrid w:val="0"/>
        <w:ind w:left="480" w:leftChars="200" w:firstLine="0" w:firstLineChars="0"/>
        <w:rPr>
          <w:rFonts w:hint="eastAsia" w:ascii="宋体" w:hAnsi="宋体"/>
          <w:u w:val="none"/>
        </w:rPr>
      </w:pPr>
      <w:r>
        <w:rPr>
          <w:rFonts w:hint="eastAsia" w:ascii="宋体" w:hAnsi="宋体"/>
          <w:u w:val="none"/>
        </w:rPr>
        <w:t>（1）人文与综合知识</w:t>
      </w:r>
    </w:p>
    <w:p>
      <w:pPr>
        <w:pStyle w:val="36"/>
        <w:adjustRightInd w:val="0"/>
        <w:snapToGrid w:val="0"/>
        <w:ind w:left="425" w:firstLine="0" w:firstLineChars="0"/>
        <w:rPr>
          <w:rFonts w:ascii="宋体" w:hAnsi="宋体"/>
          <w:u w:val="none"/>
        </w:rPr>
      </w:pPr>
      <w:r>
        <w:rPr>
          <w:rFonts w:hint="eastAsia" w:ascii="宋体" w:hAnsi="宋体"/>
          <w:u w:val="none"/>
        </w:rPr>
        <w:t>①掌握常用应用文写作的基础知识；</w:t>
      </w:r>
    </w:p>
    <w:p>
      <w:pPr>
        <w:pStyle w:val="36"/>
        <w:adjustRightInd w:val="0"/>
        <w:snapToGrid w:val="0"/>
        <w:ind w:left="425" w:firstLine="0" w:firstLineChars="0"/>
        <w:rPr>
          <w:rFonts w:ascii="宋体" w:hAnsi="宋体"/>
          <w:u w:val="none"/>
        </w:rPr>
      </w:pPr>
      <w:r>
        <w:rPr>
          <w:rFonts w:hint="eastAsia" w:ascii="宋体" w:hAnsi="宋体"/>
          <w:u w:val="none"/>
        </w:rPr>
        <w:t>②了解中国特色社会主义理论体系的基本原理知识；</w:t>
      </w:r>
    </w:p>
    <w:p>
      <w:pPr>
        <w:pStyle w:val="36"/>
        <w:adjustRightInd w:val="0"/>
        <w:snapToGrid w:val="0"/>
        <w:ind w:left="425" w:firstLine="0" w:firstLineChars="0"/>
        <w:rPr>
          <w:rFonts w:ascii="宋体" w:hAnsi="宋体"/>
          <w:u w:val="none"/>
        </w:rPr>
      </w:pPr>
      <w:r>
        <w:rPr>
          <w:rFonts w:hint="eastAsia" w:ascii="宋体" w:hAnsi="宋体"/>
          <w:u w:val="none"/>
        </w:rPr>
        <w:t>③了解国家的政治经济形势与政策；</w:t>
      </w:r>
    </w:p>
    <w:p>
      <w:pPr>
        <w:pStyle w:val="36"/>
        <w:adjustRightInd w:val="0"/>
        <w:snapToGrid w:val="0"/>
        <w:ind w:left="425" w:firstLine="0" w:firstLineChars="0"/>
        <w:rPr>
          <w:rFonts w:ascii="宋体" w:hAnsi="宋体"/>
          <w:u w:val="none"/>
        </w:rPr>
      </w:pPr>
      <w:r>
        <w:rPr>
          <w:rFonts w:hint="eastAsia" w:ascii="宋体" w:hAnsi="宋体"/>
          <w:u w:val="none"/>
        </w:rPr>
        <w:t>④熟练掌握</w:t>
      </w:r>
      <w:r>
        <w:rPr>
          <w:rFonts w:hint="eastAsia" w:ascii="宋体" w:hAnsi="宋体"/>
          <w:u w:val="none"/>
          <w:lang w:val="en-US" w:eastAsia="zh-CN"/>
        </w:rPr>
        <w:t>信息技术</w:t>
      </w:r>
      <w:r>
        <w:rPr>
          <w:rFonts w:hint="eastAsia" w:ascii="宋体" w:hAnsi="宋体"/>
          <w:u w:val="none"/>
        </w:rPr>
        <w:t>基础知识；</w:t>
      </w:r>
    </w:p>
    <w:p>
      <w:pPr>
        <w:pStyle w:val="36"/>
        <w:adjustRightInd w:val="0"/>
        <w:snapToGrid w:val="0"/>
        <w:ind w:left="425" w:firstLine="0" w:firstLineChars="0"/>
        <w:rPr>
          <w:rFonts w:ascii="宋体" w:hAnsi="宋体"/>
          <w:u w:val="none"/>
        </w:rPr>
      </w:pPr>
      <w:r>
        <w:rPr>
          <w:rFonts w:hint="eastAsia" w:ascii="宋体" w:hAnsi="宋体"/>
          <w:u w:val="none"/>
        </w:rPr>
        <w:t>⑤掌握必备的英语知识；</w:t>
      </w:r>
    </w:p>
    <w:p>
      <w:pPr>
        <w:pStyle w:val="36"/>
        <w:adjustRightInd w:val="0"/>
        <w:snapToGrid w:val="0"/>
        <w:ind w:left="425" w:firstLine="0" w:firstLineChars="0"/>
        <w:rPr>
          <w:rFonts w:ascii="宋体" w:hAnsi="宋体"/>
          <w:u w:val="none"/>
        </w:rPr>
      </w:pPr>
      <w:r>
        <w:rPr>
          <w:rFonts w:hint="eastAsia" w:ascii="宋体" w:hAnsi="宋体"/>
          <w:u w:val="none"/>
        </w:rPr>
        <w:t>⑥掌握必备的高等数学知识；</w:t>
      </w:r>
    </w:p>
    <w:p>
      <w:pPr>
        <w:pStyle w:val="36"/>
        <w:adjustRightInd w:val="0"/>
        <w:snapToGrid w:val="0"/>
        <w:ind w:left="425" w:firstLine="0" w:firstLineChars="0"/>
        <w:rPr>
          <w:rFonts w:ascii="宋体" w:hAnsi="宋体"/>
          <w:u w:val="none"/>
        </w:rPr>
      </w:pPr>
      <w:r>
        <w:rPr>
          <w:rFonts w:hint="eastAsia" w:ascii="宋体" w:hAnsi="宋体"/>
          <w:u w:val="none"/>
        </w:rPr>
        <w:t>⑦掌握必备的</w:t>
      </w:r>
      <w:r>
        <w:rPr>
          <w:rFonts w:hint="eastAsia" w:ascii="宋体" w:hAnsi="宋体"/>
          <w:u w:val="none"/>
          <w:lang w:val="en-US" w:eastAsia="zh-CN"/>
        </w:rPr>
        <w:t>身心健康</w:t>
      </w:r>
      <w:r>
        <w:rPr>
          <w:rFonts w:hint="eastAsia" w:ascii="宋体" w:hAnsi="宋体"/>
          <w:u w:val="none"/>
        </w:rPr>
        <w:t>知识、必要的法律知识和国防教育知识；</w:t>
      </w:r>
    </w:p>
    <w:p>
      <w:pPr>
        <w:pStyle w:val="36"/>
        <w:adjustRightInd w:val="0"/>
        <w:snapToGrid w:val="0"/>
        <w:ind w:left="425" w:firstLine="0" w:firstLineChars="0"/>
        <w:rPr>
          <w:rFonts w:ascii="宋体" w:hAnsi="宋体"/>
          <w:u w:val="none"/>
        </w:rPr>
      </w:pPr>
      <w:r>
        <w:rPr>
          <w:rFonts w:hint="eastAsia" w:ascii="宋体" w:hAnsi="宋体"/>
          <w:u w:val="none"/>
        </w:rPr>
        <w:t>⑧具备一定的创新创业的基本理论知识，及理论结合实际的创新思维；</w:t>
      </w:r>
    </w:p>
    <w:p>
      <w:pPr>
        <w:pStyle w:val="36"/>
        <w:adjustRightInd w:val="0"/>
        <w:snapToGrid w:val="0"/>
        <w:ind w:left="425" w:firstLine="0" w:firstLineChars="0"/>
        <w:rPr>
          <w:rFonts w:ascii="宋体" w:hAnsi="宋体"/>
          <w:u w:val="none"/>
        </w:rPr>
      </w:pPr>
      <w:r>
        <w:rPr>
          <w:rFonts w:hint="eastAsia" w:ascii="宋体" w:hAnsi="宋体"/>
          <w:u w:val="none"/>
        </w:rPr>
        <w:t>⑨具备一定的工程数学方面的专业基础理论知识。</w:t>
      </w:r>
    </w:p>
    <w:p>
      <w:pPr>
        <w:pStyle w:val="36"/>
        <w:adjustRightInd w:val="0"/>
        <w:snapToGrid w:val="0"/>
        <w:ind w:firstLine="480"/>
        <w:rPr>
          <w:rFonts w:hint="eastAsia" w:ascii="宋体" w:hAnsi="宋体"/>
          <w:u w:val="none"/>
        </w:rPr>
      </w:pPr>
      <w:r>
        <w:rPr>
          <w:rFonts w:hint="eastAsia" w:ascii="宋体" w:hAnsi="宋体"/>
          <w:u w:val="none"/>
        </w:rPr>
        <w:t>（2）专业知识，构建技术、经济、管理、法律四大课程平台，具备从事投资审计的综合技能。</w:t>
      </w:r>
    </w:p>
    <w:p>
      <w:pPr>
        <w:pStyle w:val="36"/>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宋体" w:hAnsi="宋体"/>
          <w:u w:val="none"/>
        </w:rPr>
      </w:pPr>
      <w:r>
        <w:rPr>
          <w:rFonts w:hint="eastAsia" w:ascii="宋体" w:hAnsi="宋体"/>
          <w:u w:val="none"/>
        </w:rPr>
        <w:t>①具备必须的工程技术方面的专业知识，工程制图与识图、工程力学、建筑材料、房屋建筑构造、建筑施工技术、工程测量、绿色建筑技术、</w:t>
      </w:r>
      <w:r>
        <w:rPr>
          <w:rFonts w:ascii="Times New Roman" w:hAnsi="Times New Roman"/>
          <w:u w:val="none"/>
        </w:rPr>
        <w:t>BIM&amp;BLM</w:t>
      </w:r>
      <w:r>
        <w:rPr>
          <w:rFonts w:hint="eastAsia" w:ascii="宋体" w:hAnsi="宋体"/>
          <w:u w:val="none"/>
        </w:rPr>
        <w:t>等方面的专业基础理论知识；</w:t>
      </w:r>
    </w:p>
    <w:p>
      <w:pPr>
        <w:pStyle w:val="36"/>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宋体" w:hAnsi="宋体"/>
          <w:u w:val="none"/>
        </w:rPr>
      </w:pPr>
      <w:r>
        <w:rPr>
          <w:rFonts w:hint="eastAsia" w:ascii="宋体" w:hAnsi="宋体"/>
          <w:u w:val="none"/>
        </w:rPr>
        <w:t>②具备扎实的建设工程施工项目管理类专业基础理论知识，包括项目管理、建筑施工组织、合同管理、招投标管理、质量管理、安全管理、工程造价与全寿命周期费用管理、建设项目社会影响评价、环境影响评价、投资审计等专业基础知识；</w:t>
      </w:r>
    </w:p>
    <w:p>
      <w:pPr>
        <w:pStyle w:val="36"/>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ascii="宋体" w:hAnsi="宋体"/>
          <w:u w:val="none"/>
        </w:rPr>
      </w:pPr>
      <w:r>
        <w:rPr>
          <w:rFonts w:hint="eastAsia" w:ascii="宋体" w:hAnsi="宋体"/>
          <w:u w:val="none"/>
        </w:rPr>
        <w:t>③具备扎实的建筑工经济类专业技术知识，包括经济学基础知识、工程经济分析与评价、全寿命周期理论等；</w:t>
      </w:r>
    </w:p>
    <w:p>
      <w:pPr>
        <w:pStyle w:val="36"/>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u w:val="none"/>
        </w:rPr>
      </w:pPr>
      <w:r>
        <w:rPr>
          <w:rFonts w:hint="eastAsia" w:ascii="宋体" w:hAnsi="宋体"/>
          <w:u w:val="none"/>
        </w:rPr>
        <w:t>④具备扎实的法律类专业技术知识</w:t>
      </w:r>
      <w:r>
        <w:rPr>
          <w:rFonts w:hint="eastAsia" w:ascii="宋体" w:hAnsi="宋体"/>
          <w:b/>
          <w:u w:val="none"/>
        </w:rPr>
        <w:t>，</w:t>
      </w:r>
      <w:r>
        <w:rPr>
          <w:rFonts w:hint="eastAsia" w:ascii="宋体" w:hAnsi="宋体"/>
          <w:u w:val="none"/>
        </w:rPr>
        <w:t>主要涉及与投资审计、工程建设相关的一系列法律法规课程以及有关工程索赔、国际工程管理所需的法律法规知识。</w:t>
      </w:r>
    </w:p>
    <w:p>
      <w:pPr>
        <w:pStyle w:val="17"/>
        <w:adjustRightInd w:val="0"/>
        <w:snapToGrid w:val="0"/>
        <w:ind w:firstLine="482"/>
        <w:rPr>
          <w:rFonts w:hint="eastAsia" w:ascii="楷体" w:hAnsi="楷体" w:cs="楷体"/>
          <w:sz w:val="24"/>
          <w:szCs w:val="24"/>
          <w:u w:val="none"/>
        </w:rPr>
      </w:pPr>
      <w:bookmarkStart w:id="47" w:name="_Toc8487"/>
      <w:bookmarkStart w:id="48" w:name="_Toc3223"/>
      <w:r>
        <w:rPr>
          <w:rFonts w:hint="eastAsia" w:ascii="楷体" w:hAnsi="楷体" w:cs="楷体"/>
          <w:sz w:val="24"/>
          <w:szCs w:val="24"/>
          <w:u w:val="none"/>
        </w:rPr>
        <w:t>2.能力结构要求</w:t>
      </w:r>
      <w:bookmarkEnd w:id="47"/>
      <w:bookmarkEnd w:id="48"/>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1</w:t>
      </w:r>
      <w:r>
        <w:rPr>
          <w:rFonts w:hint="eastAsia" w:ascii="宋体" w:hAnsi="宋体" w:eastAsia="宋体" w:cs="宋体"/>
          <w:u w:val="none"/>
          <w:lang w:eastAsia="zh-CN"/>
        </w:rPr>
        <w:t>）</w:t>
      </w:r>
      <w:r>
        <w:rPr>
          <w:rFonts w:hint="eastAsia" w:ascii="宋体" w:hAnsi="宋体" w:eastAsia="宋体" w:cs="宋体"/>
          <w:u w:val="none"/>
        </w:rPr>
        <w:t>具备扎实的现代办公软件与行业软件的应用能力；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2</w:t>
      </w:r>
      <w:r>
        <w:rPr>
          <w:rFonts w:hint="eastAsia" w:ascii="宋体" w:hAnsi="宋体" w:eastAsia="宋体" w:cs="宋体"/>
          <w:u w:val="none"/>
          <w:lang w:eastAsia="zh-CN"/>
        </w:rPr>
        <w:t>）</w:t>
      </w:r>
      <w:r>
        <w:rPr>
          <w:rFonts w:hint="eastAsia" w:ascii="宋体" w:hAnsi="宋体" w:eastAsia="宋体" w:cs="宋体"/>
          <w:u w:val="none"/>
        </w:rPr>
        <w:t>具有独立搜集、处理信息的能力；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3</w:t>
      </w:r>
      <w:r>
        <w:rPr>
          <w:rFonts w:hint="eastAsia" w:ascii="宋体" w:hAnsi="宋体" w:eastAsia="宋体" w:cs="宋体"/>
          <w:u w:val="none"/>
          <w:lang w:eastAsia="zh-CN"/>
        </w:rPr>
        <w:t>）</w:t>
      </w:r>
      <w:r>
        <w:rPr>
          <w:rFonts w:hint="eastAsia" w:ascii="宋体" w:hAnsi="宋体" w:eastAsia="宋体" w:cs="宋体"/>
          <w:u w:val="none"/>
        </w:rPr>
        <w:t>具有独立获取知识的能力；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4</w:t>
      </w:r>
      <w:r>
        <w:rPr>
          <w:rFonts w:hint="eastAsia" w:ascii="宋体" w:hAnsi="宋体" w:eastAsia="宋体" w:cs="宋体"/>
          <w:u w:val="none"/>
          <w:lang w:eastAsia="zh-CN"/>
        </w:rPr>
        <w:t>）</w:t>
      </w:r>
      <w:r>
        <w:rPr>
          <w:rFonts w:hint="eastAsia" w:ascii="宋体" w:hAnsi="宋体" w:eastAsia="宋体" w:cs="宋体"/>
          <w:u w:val="none"/>
        </w:rPr>
        <w:t>具有较强的社会活动能力、协调组织能力和公共交往能力；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5</w:t>
      </w:r>
      <w:r>
        <w:rPr>
          <w:rFonts w:hint="eastAsia" w:ascii="宋体" w:hAnsi="宋体" w:eastAsia="宋体" w:cs="宋体"/>
          <w:u w:val="none"/>
          <w:lang w:eastAsia="zh-CN"/>
        </w:rPr>
        <w:t>）</w:t>
      </w:r>
      <w:r>
        <w:rPr>
          <w:rFonts w:hint="eastAsia" w:ascii="宋体" w:hAnsi="宋体" w:eastAsia="宋体" w:cs="宋体"/>
          <w:u w:val="none"/>
        </w:rPr>
        <w:t>具备较强的建设工程项目管理能力；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6</w:t>
      </w:r>
      <w:r>
        <w:rPr>
          <w:rFonts w:hint="eastAsia" w:ascii="宋体" w:hAnsi="宋体" w:eastAsia="宋体" w:cs="宋体"/>
          <w:u w:val="none"/>
          <w:lang w:eastAsia="zh-CN"/>
        </w:rPr>
        <w:t>）</w:t>
      </w:r>
      <w:r>
        <w:rPr>
          <w:rFonts w:hint="eastAsia" w:ascii="宋体" w:hAnsi="宋体" w:eastAsia="宋体" w:cs="宋体"/>
          <w:u w:val="none"/>
        </w:rPr>
        <w:t>具备一定的投资决策与方案比选的能力；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7</w:t>
      </w:r>
      <w:r>
        <w:rPr>
          <w:rFonts w:hint="eastAsia" w:ascii="宋体" w:hAnsi="宋体" w:eastAsia="宋体" w:cs="宋体"/>
          <w:u w:val="none"/>
          <w:lang w:eastAsia="zh-CN"/>
        </w:rPr>
        <w:t>）</w:t>
      </w:r>
      <w:r>
        <w:rPr>
          <w:rFonts w:hint="eastAsia" w:ascii="宋体" w:hAnsi="宋体" w:eastAsia="宋体" w:cs="宋体"/>
          <w:u w:val="none"/>
        </w:rPr>
        <w:t>具备较强的合同管理和招投标方面的专业能力；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8</w:t>
      </w:r>
      <w:r>
        <w:rPr>
          <w:rFonts w:hint="eastAsia" w:ascii="宋体" w:hAnsi="宋体" w:eastAsia="宋体" w:cs="宋体"/>
          <w:u w:val="none"/>
          <w:lang w:eastAsia="zh-CN"/>
        </w:rPr>
        <w:t>）</w:t>
      </w:r>
      <w:r>
        <w:rPr>
          <w:rFonts w:hint="eastAsia" w:ascii="宋体" w:hAnsi="宋体" w:eastAsia="宋体" w:cs="宋体"/>
          <w:u w:val="none"/>
        </w:rPr>
        <w:t>掌握计算机工程项目管理软件应用方面的专业能力；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9</w:t>
      </w:r>
      <w:r>
        <w:rPr>
          <w:rFonts w:hint="eastAsia" w:ascii="宋体" w:hAnsi="宋体" w:eastAsia="宋体" w:cs="宋体"/>
          <w:u w:val="none"/>
          <w:lang w:eastAsia="zh-CN"/>
        </w:rPr>
        <w:t>）</w:t>
      </w:r>
      <w:r>
        <w:rPr>
          <w:rFonts w:hint="eastAsia" w:ascii="宋体" w:hAnsi="宋体" w:eastAsia="宋体" w:cs="宋体"/>
          <w:u w:val="none"/>
        </w:rPr>
        <w:t>具备独立从事</w:t>
      </w:r>
      <w:r>
        <w:rPr>
          <w:rFonts w:hint="eastAsia" w:ascii="宋体" w:hAnsi="宋体" w:eastAsia="宋体" w:cs="宋体"/>
          <w:u w:val="none"/>
          <w:lang w:eastAsia="zh-CN"/>
        </w:rPr>
        <w:t>建筑业产业管理和企业管理</w:t>
      </w:r>
      <w:r>
        <w:rPr>
          <w:rFonts w:hint="eastAsia" w:ascii="宋体" w:hAnsi="宋体" w:eastAsia="宋体" w:cs="宋体"/>
          <w:u w:val="none"/>
        </w:rPr>
        <w:t>的能力；</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480" w:firstLineChars="200"/>
        <w:textAlignment w:val="auto"/>
        <w:rPr>
          <w:u w:val="none"/>
        </w:rPr>
      </w:pPr>
      <w:r>
        <w:rPr>
          <w:rFonts w:hint="eastAsia" w:ascii="宋体" w:hAnsi="宋体" w:eastAsia="宋体" w:cs="宋体"/>
          <w:u w:val="none"/>
          <w:lang w:eastAsia="zh-CN"/>
        </w:rPr>
        <w:t>（</w:t>
      </w:r>
      <w:r>
        <w:rPr>
          <w:rFonts w:hint="eastAsia" w:ascii="宋体" w:hAnsi="宋体" w:eastAsia="宋体" w:cs="宋体"/>
          <w:u w:val="none"/>
          <w:lang w:val="en-US" w:eastAsia="zh-CN"/>
        </w:rPr>
        <w:t>10</w:t>
      </w:r>
      <w:r>
        <w:rPr>
          <w:rFonts w:hint="eastAsia" w:ascii="宋体" w:hAnsi="宋体" w:eastAsia="宋体" w:cs="宋体"/>
          <w:u w:val="none"/>
          <w:lang w:eastAsia="zh-CN"/>
        </w:rPr>
        <w:t>）</w:t>
      </w:r>
      <w:r>
        <w:rPr>
          <w:rFonts w:hint="eastAsia" w:ascii="宋体" w:hAnsi="宋体" w:eastAsia="宋体" w:cs="宋体"/>
          <w:u w:val="none"/>
        </w:rPr>
        <w:t>具有熟</w:t>
      </w:r>
      <w:r>
        <w:rPr>
          <w:rFonts w:hint="eastAsia"/>
          <w:u w:val="none"/>
        </w:rPr>
        <w:t>练使用BIM软件进行建筑结构建模的能力。</w:t>
      </w:r>
    </w:p>
    <w:p>
      <w:pPr>
        <w:pStyle w:val="17"/>
        <w:adjustRightInd w:val="0"/>
        <w:snapToGrid w:val="0"/>
        <w:ind w:firstLine="482"/>
        <w:rPr>
          <w:rFonts w:hint="eastAsia" w:ascii="楷体" w:hAnsi="楷体" w:cs="楷体"/>
          <w:sz w:val="24"/>
          <w:szCs w:val="24"/>
          <w:u w:val="none"/>
        </w:rPr>
      </w:pPr>
      <w:bookmarkStart w:id="49" w:name="_Toc7258"/>
      <w:bookmarkStart w:id="50" w:name="_Toc9417"/>
      <w:r>
        <w:rPr>
          <w:rFonts w:hint="eastAsia" w:ascii="楷体" w:hAnsi="楷体" w:cs="楷体"/>
          <w:sz w:val="24"/>
          <w:szCs w:val="24"/>
          <w:u w:val="none"/>
        </w:rPr>
        <w:t>3.素质结构要求</w:t>
      </w:r>
      <w:bookmarkEnd w:id="49"/>
      <w:bookmarkEnd w:id="50"/>
    </w:p>
    <w:p>
      <w:pPr>
        <w:widowControl/>
        <w:adjustRightInd w:val="0"/>
        <w:snapToGrid w:val="0"/>
        <w:ind w:firstLine="480"/>
        <w:jc w:val="left"/>
        <w:rPr>
          <w:u w:val="none"/>
        </w:rPr>
      </w:pPr>
      <w:r>
        <w:rPr>
          <w:rFonts w:hint="eastAsia" w:ascii="宋体" w:hAnsi="宋体" w:cs="宋体"/>
          <w:color w:val="000000"/>
          <w:kern w:val="0"/>
          <w:szCs w:val="24"/>
          <w:u w:val="none"/>
          <w:lang w:bidi="ar"/>
        </w:rPr>
        <w:t xml:space="preserve">（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 </w:t>
      </w:r>
    </w:p>
    <w:p>
      <w:pPr>
        <w:widowControl/>
        <w:adjustRightInd w:val="0"/>
        <w:snapToGrid w:val="0"/>
        <w:ind w:firstLine="480"/>
        <w:jc w:val="left"/>
        <w:rPr>
          <w:rFonts w:hint="eastAsia" w:ascii="宋体" w:hAnsi="宋体" w:cs="宋体"/>
          <w:color w:val="000000"/>
          <w:kern w:val="0"/>
          <w:szCs w:val="24"/>
          <w:u w:val="none"/>
          <w:lang w:bidi="ar"/>
        </w:rPr>
      </w:pPr>
      <w:r>
        <w:rPr>
          <w:rFonts w:hint="eastAsia" w:ascii="宋体" w:hAnsi="宋体" w:cs="宋体"/>
          <w:color w:val="000000"/>
          <w:kern w:val="0"/>
          <w:szCs w:val="24"/>
          <w:u w:val="none"/>
          <w:lang w:bidi="ar"/>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pStyle w:val="7"/>
        <w:spacing w:before="0" w:beforeAutospacing="0" w:after="0" w:afterAutospacing="0"/>
        <w:rPr>
          <w:rFonts w:hint="eastAsia" w:ascii="宋体" w:hAnsi="宋体" w:eastAsia="宋体" w:cs="Times New Roman"/>
          <w:kern w:val="2"/>
          <w:sz w:val="24"/>
          <w:szCs w:val="24"/>
          <w:u w:val="none"/>
          <w:lang w:val="en-US" w:eastAsia="zh-CN" w:bidi="ar-SA"/>
        </w:rPr>
      </w:pPr>
      <w:r>
        <w:rPr>
          <w:rFonts w:hint="eastAsia" w:ascii="宋体" w:hAnsi="宋体" w:cs="宋体"/>
          <w:color w:val="000000"/>
          <w:kern w:val="0"/>
          <w:szCs w:val="24"/>
          <w:u w:val="none"/>
          <w:lang w:bidi="ar"/>
        </w:rPr>
        <w:t>（3）</w:t>
      </w:r>
      <w:r>
        <w:rPr>
          <w:rFonts w:hint="eastAsia" w:ascii="宋体" w:hAnsi="宋体" w:eastAsia="宋体" w:cs="Times New Roman"/>
          <w:kern w:val="2"/>
          <w:sz w:val="24"/>
          <w:szCs w:val="24"/>
          <w:u w:val="none"/>
          <w:lang w:val="en-US" w:eastAsia="zh-CN" w:bidi="ar-SA"/>
        </w:rPr>
        <w:t>具有良好的身心素质和人文素养。身心健康，掌握基本运动知识和一两项运动技能，达到《国家学生体质健康标准》，养成良好的健身与卫生习惯，以及良好的行为习惯，形成自尊自信、理性平和、积极向上的社会心态；具有感受美、表现美、鉴赏美、创造美的能力，具有一定的审美和人文素养，能够形成一两项艺术特长或爱好；掌握一定的学习方法，具有良好的生活习惯、行为习惯和自我管理能力。</w:t>
      </w:r>
    </w:p>
    <w:p>
      <w:pPr>
        <w:pStyle w:val="3"/>
        <w:ind w:firstLine="562"/>
        <w:rPr>
          <w:rFonts w:hint="eastAsia" w:ascii="黑体" w:hAnsi="黑体" w:cs="黑体"/>
          <w:u w:val="none"/>
        </w:rPr>
      </w:pPr>
      <w:bookmarkStart w:id="51" w:name="_Toc22120"/>
      <w:bookmarkStart w:id="52" w:name="_Toc3237"/>
      <w:bookmarkStart w:id="53" w:name="_Toc18201"/>
      <w:bookmarkStart w:id="54" w:name="_Toc16497"/>
      <w:bookmarkStart w:id="55" w:name="_Toc19669"/>
      <w:r>
        <w:rPr>
          <w:rFonts w:hint="eastAsia" w:ascii="黑体" w:hAnsi="黑体" w:cs="黑体"/>
          <w:u w:val="none"/>
        </w:rPr>
        <w:t>六、</w:t>
      </w:r>
      <w:r>
        <w:rPr>
          <w:rFonts w:hint="eastAsia" w:ascii="黑体" w:hAnsi="黑体"/>
          <w:szCs w:val="28"/>
          <w:u w:val="none"/>
          <w:lang w:val="en-US" w:eastAsia="zh-CN"/>
        </w:rPr>
        <w:t>课程体系与课程设置及要求</w:t>
      </w:r>
      <w:bookmarkEnd w:id="51"/>
      <w:bookmarkEnd w:id="52"/>
      <w:bookmarkEnd w:id="53"/>
      <w:bookmarkEnd w:id="54"/>
      <w:bookmarkEnd w:id="55"/>
    </w:p>
    <w:p>
      <w:pPr>
        <w:pStyle w:val="7"/>
        <w:spacing w:before="0" w:beforeAutospacing="0" w:after="0" w:afterAutospacing="0"/>
        <w:ind w:firstLine="482"/>
        <w:outlineLvl w:val="1"/>
        <w:rPr>
          <w:rFonts w:hint="eastAsia" w:ascii="黑体" w:hAnsi="黑体" w:eastAsia="黑体"/>
          <w:b/>
          <w:szCs w:val="24"/>
          <w:u w:val="none"/>
        </w:rPr>
      </w:pPr>
      <w:bookmarkStart w:id="56" w:name="_Toc17608_WPSOffice_Level2"/>
      <w:bookmarkStart w:id="57" w:name="_Toc26224_WPSOffice_Level2"/>
      <w:bookmarkStart w:id="58" w:name="_Toc27273_WPSOffice_Level2"/>
      <w:bookmarkStart w:id="59" w:name="_Toc5361"/>
      <w:bookmarkStart w:id="60" w:name="_Toc9811"/>
      <w:bookmarkStart w:id="61" w:name="_Toc26454"/>
      <w:bookmarkStart w:id="62" w:name="_Toc7848"/>
      <w:bookmarkStart w:id="63" w:name="_Toc419405829"/>
      <w:bookmarkStart w:id="64" w:name="_Toc16576"/>
      <w:bookmarkStart w:id="65" w:name="_Toc4712"/>
      <w:bookmarkStart w:id="66" w:name="_Toc9768_WPSOffice_Level2"/>
      <w:bookmarkStart w:id="67" w:name="_Toc3761"/>
      <w:r>
        <w:rPr>
          <w:rFonts w:hint="eastAsia" w:ascii="黑体" w:hAnsi="黑体" w:eastAsia="黑体"/>
          <w:b/>
          <w:szCs w:val="24"/>
          <w:u w:val="none"/>
        </w:rPr>
        <w:t>（一）课程体系</w:t>
      </w:r>
      <w:bookmarkEnd w:id="56"/>
      <w:bookmarkEnd w:id="57"/>
      <w:bookmarkEnd w:id="58"/>
      <w:bookmarkEnd w:id="59"/>
      <w:bookmarkEnd w:id="60"/>
      <w:bookmarkEnd w:id="61"/>
      <w:bookmarkEnd w:id="62"/>
      <w:bookmarkEnd w:id="63"/>
      <w:bookmarkEnd w:id="64"/>
      <w:bookmarkEnd w:id="65"/>
      <w:bookmarkEnd w:id="66"/>
      <w:bookmarkEnd w:id="67"/>
    </w:p>
    <w:p>
      <w:pPr>
        <w:ind w:firstLine="480"/>
        <w:rPr>
          <w:rFonts w:hint="eastAsia" w:ascii="宋体" w:hAnsi="宋体"/>
          <w:szCs w:val="24"/>
          <w:u w:val="none"/>
        </w:rPr>
      </w:pPr>
      <w:bookmarkStart w:id="68" w:name="_Toc21130_WPSOffice_Level3"/>
      <w:r>
        <w:rPr>
          <w:rFonts w:hint="eastAsia" w:ascii="宋体" w:hAnsi="宋体"/>
          <w:szCs w:val="24"/>
          <w:u w:val="none"/>
        </w:rPr>
        <w:t>结合现代建筑经济信息化管理专业人才培养特点，本专业既重视第一课堂的学习，又重视第二课堂的实践。为了拓展学生的专业视野，提高学生的专业素养，提升学生未来职场能力，本专业开展形式多样、丰富多彩的第二课堂活动。第二课堂活动把扩大学生知识面、培养创新意识与创新能力、提高职业素养和能力作为重点。</w:t>
      </w:r>
    </w:p>
    <w:p>
      <w:pPr>
        <w:ind w:firstLine="480"/>
        <w:rPr>
          <w:rFonts w:ascii="宋体" w:cs="宋体"/>
          <w:color w:val="000000"/>
          <w:kern w:val="0"/>
          <w:szCs w:val="24"/>
          <w:u w:val="none"/>
        </w:rPr>
      </w:pPr>
      <w:r>
        <w:rPr>
          <w:rFonts w:hint="eastAsia" w:ascii="宋体" w:hAnsi="宋体"/>
          <w:szCs w:val="24"/>
          <w:u w:val="none"/>
        </w:rPr>
        <w:t>1.以行业标准为依据，</w:t>
      </w:r>
      <w:r>
        <w:rPr>
          <w:rFonts w:hint="eastAsia" w:ascii="宋体" w:hAnsi="宋体"/>
          <w:bCs/>
          <w:szCs w:val="24"/>
          <w:u w:val="none"/>
        </w:rPr>
        <w:t>继续遵照国家支持高等职业院校提升专业服务能力的精神，</w:t>
      </w:r>
      <w:r>
        <w:rPr>
          <w:rFonts w:hint="eastAsia" w:ascii="宋体" w:hAnsi="宋体"/>
          <w:szCs w:val="24"/>
          <w:u w:val="none"/>
        </w:rPr>
        <w:t>围绕区域经济发展，大力推进政府、行业、企业和学校“四方联动</w:t>
      </w:r>
      <w:r>
        <w:rPr>
          <w:rFonts w:hint="eastAsia" w:ascii="宋体"/>
          <w:szCs w:val="24"/>
          <w:u w:val="none"/>
        </w:rPr>
        <w:t>”</w:t>
      </w:r>
      <w:r>
        <w:rPr>
          <w:rFonts w:hint="eastAsia" w:ascii="宋体" w:hAnsi="宋体" w:cs="宋体"/>
          <w:color w:val="000000"/>
          <w:kern w:val="0"/>
          <w:szCs w:val="24"/>
          <w:u w:val="none"/>
        </w:rPr>
        <w:t>，做好工程经济企业类型需求调研，重构课程体系。</w:t>
      </w:r>
    </w:p>
    <w:p>
      <w:pPr>
        <w:ind w:firstLine="480"/>
        <w:rPr>
          <w:rFonts w:ascii="宋体" w:cs="宋体"/>
          <w:color w:val="000000"/>
          <w:kern w:val="0"/>
          <w:szCs w:val="24"/>
          <w:u w:val="none"/>
        </w:rPr>
      </w:pPr>
      <w:r>
        <w:rPr>
          <w:rFonts w:hint="eastAsia" w:ascii="宋体" w:hAnsi="宋体" w:cs="宋体"/>
          <w:color w:val="000000"/>
          <w:kern w:val="0"/>
          <w:szCs w:val="24"/>
          <w:u w:val="none"/>
        </w:rPr>
        <w:t>2.以工程经济企业业务操作、工程经济管理、职业发展阶梯为依托，以建造师、审计师等职业资格等级认证为依据，梳理学生的职业能力体系。</w:t>
      </w:r>
    </w:p>
    <w:p>
      <w:pPr>
        <w:ind w:firstLine="480"/>
        <w:rPr>
          <w:rFonts w:ascii="宋体" w:cs="宋体"/>
          <w:color w:val="000000"/>
          <w:kern w:val="0"/>
          <w:szCs w:val="24"/>
          <w:u w:val="none"/>
        </w:rPr>
      </w:pPr>
      <w:r>
        <w:rPr>
          <w:rFonts w:hint="eastAsia" w:ascii="宋体" w:hAnsi="宋体" w:cs="宋体"/>
          <w:color w:val="000000"/>
          <w:kern w:val="0"/>
          <w:szCs w:val="24"/>
          <w:u w:val="none"/>
        </w:rPr>
        <w:t>3.以企业岗位需求为依据，规范课程应知、应会、典型项目的具体内容。</w:t>
      </w:r>
    </w:p>
    <w:p>
      <w:pPr>
        <w:ind w:firstLine="480"/>
        <w:rPr>
          <w:rFonts w:ascii="宋体"/>
          <w:szCs w:val="24"/>
          <w:u w:val="none"/>
        </w:rPr>
      </w:pPr>
      <w:r>
        <w:rPr>
          <w:rFonts w:hint="eastAsia" w:ascii="宋体" w:hAnsi="宋体" w:cs="宋体"/>
          <w:color w:val="000000"/>
          <w:kern w:val="0"/>
          <w:szCs w:val="24"/>
          <w:u w:val="none"/>
        </w:rPr>
        <w:t>4.引进职业资格证书制度，</w:t>
      </w:r>
      <w:r>
        <w:rPr>
          <w:rFonts w:hint="eastAsia" w:ascii="宋体" w:hAnsi="宋体"/>
          <w:szCs w:val="24"/>
          <w:u w:val="none"/>
        </w:rPr>
        <w:t>形成以职业核心为能力的“双证融通”教学模块。</w:t>
      </w:r>
    </w:p>
    <w:p>
      <w:pPr>
        <w:autoSpaceDE w:val="0"/>
        <w:autoSpaceDN w:val="0"/>
        <w:adjustRightInd w:val="0"/>
        <w:ind w:firstLine="480"/>
        <w:jc w:val="left"/>
        <w:rPr>
          <w:rFonts w:ascii="宋体" w:hAnsi="宋体"/>
          <w:szCs w:val="24"/>
          <w:u w:val="none"/>
        </w:rPr>
      </w:pPr>
      <w:r>
        <w:rPr>
          <w:rFonts w:hint="eastAsia" w:ascii="宋体" w:hAnsi="宋体"/>
          <w:szCs w:val="24"/>
          <w:u w:val="none"/>
        </w:rPr>
        <w:t>5.完善突出建筑经济管理相关岗位的职业能力培养的模块化课程体系。针对本专业所对应的职业岗位需求，以项目任务和工作流程为引领、以岗位需求和职业技能要求为依据，按照职业教育的特点，构建以学生为中心、以“工作任务驱动为导向”，以职场典型的真实任务为主要教学内容，功能相对独立又相互耦合的模块化专业课程体系。</w:t>
      </w:r>
    </w:p>
    <w:p>
      <w:pPr>
        <w:autoSpaceDE w:val="0"/>
        <w:autoSpaceDN w:val="0"/>
        <w:adjustRightInd w:val="0"/>
        <w:ind w:firstLine="482"/>
        <w:jc w:val="center"/>
        <w:rPr>
          <w:rFonts w:hint="eastAsia" w:ascii="黑体" w:hAnsi="宋体" w:eastAsia="黑体" w:cs="宋体"/>
          <w:b/>
          <w:bCs/>
          <w:kern w:val="0"/>
          <w:szCs w:val="21"/>
          <w:u w:val="none"/>
        </w:rPr>
      </w:pPr>
      <w:bookmarkStart w:id="69" w:name="_Toc18704_WPSOffice_Level2"/>
      <w:bookmarkStart w:id="70" w:name="_Toc10171_WPSOffice_Level2"/>
      <w:bookmarkStart w:id="71" w:name="_Toc5191_WPSOffice_Level2"/>
      <w:bookmarkStart w:id="72" w:name="_Toc21868_WPSOffice_Level2"/>
      <w:r>
        <w:rPr>
          <w:rFonts w:hint="eastAsia" w:ascii="黑体" w:eastAsia="黑体"/>
          <w:b/>
          <w:bCs/>
          <w:u w:val="none"/>
        </w:rPr>
        <w:t>表</w:t>
      </w:r>
      <w:r>
        <w:rPr>
          <w:rFonts w:ascii="黑体" w:eastAsia="黑体"/>
          <w:b/>
          <w:bCs/>
          <w:u w:val="none"/>
        </w:rPr>
        <w:t>6</w:t>
      </w:r>
      <w:r>
        <w:rPr>
          <w:rFonts w:hint="eastAsia" w:ascii="黑体" w:eastAsia="黑体"/>
          <w:b/>
          <w:bCs/>
          <w:u w:val="none"/>
        </w:rPr>
        <w:t xml:space="preserve">-1 </w:t>
      </w:r>
      <w:r>
        <w:rPr>
          <w:rFonts w:hint="eastAsia" w:ascii="黑体" w:hAnsi="宋体" w:eastAsia="黑体" w:cs="宋体"/>
          <w:b/>
          <w:bCs/>
          <w:kern w:val="0"/>
          <w:szCs w:val="21"/>
          <w:u w:val="none"/>
        </w:rPr>
        <w:t>安徽审计职业学院建筑经济信息化管理专业课程体系表</w:t>
      </w:r>
      <w:bookmarkEnd w:id="68"/>
      <w:bookmarkEnd w:id="69"/>
      <w:bookmarkEnd w:id="70"/>
      <w:bookmarkEnd w:id="71"/>
      <w:bookmarkEnd w:id="7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58"/>
        <w:gridCol w:w="360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firstLineChars="0"/>
              <w:jc w:val="center"/>
              <w:rPr>
                <w:rFonts w:ascii="黑体" w:hAnsi="黑体" w:eastAsia="黑体"/>
                <w:b/>
                <w:szCs w:val="21"/>
                <w:u w:val="none"/>
              </w:rPr>
            </w:pPr>
            <w:bookmarkStart w:id="73" w:name="_Toc27806"/>
            <w:bookmarkStart w:id="74" w:name="_Toc29294"/>
            <w:bookmarkStart w:id="75" w:name="_Toc1714"/>
            <w:bookmarkStart w:id="76" w:name="_Toc7764"/>
            <w:bookmarkStart w:id="77" w:name="_Toc1304"/>
            <w:r>
              <w:rPr>
                <w:rFonts w:hint="eastAsia" w:ascii="黑体" w:hAnsi="黑体" w:eastAsia="黑体"/>
                <w:b/>
                <w:szCs w:val="21"/>
                <w:u w:val="none"/>
              </w:rPr>
              <w:t>序号</w:t>
            </w:r>
          </w:p>
        </w:tc>
        <w:tc>
          <w:tcPr>
            <w:tcW w:w="1758" w:type="dxa"/>
            <w:tcBorders>
              <w:top w:val="single" w:color="auto" w:sz="4" w:space="0"/>
              <w:left w:val="single" w:color="auto" w:sz="4" w:space="0"/>
              <w:bottom w:val="single" w:color="auto" w:sz="4" w:space="0"/>
              <w:right w:val="single" w:color="auto" w:sz="4" w:space="0"/>
            </w:tcBorders>
            <w:noWrap w:val="0"/>
            <w:vAlign w:val="top"/>
          </w:tcPr>
          <w:p>
            <w:pPr>
              <w:adjustRightInd w:val="0"/>
              <w:ind w:firstLine="0" w:firstLineChars="0"/>
              <w:jc w:val="center"/>
              <w:rPr>
                <w:rFonts w:hint="eastAsia" w:ascii="黑体" w:hAnsi="黑体" w:eastAsia="黑体"/>
                <w:b/>
                <w:szCs w:val="21"/>
                <w:u w:val="none"/>
              </w:rPr>
            </w:pPr>
            <w:r>
              <w:rPr>
                <w:rFonts w:hint="eastAsia" w:ascii="黑体" w:hAnsi="黑体" w:eastAsia="黑体"/>
                <w:b/>
                <w:szCs w:val="21"/>
                <w:u w:val="none"/>
              </w:rPr>
              <w:t>课程类型</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firstLineChars="0"/>
              <w:jc w:val="center"/>
              <w:rPr>
                <w:rFonts w:hint="eastAsia" w:ascii="黑体" w:hAnsi="黑体" w:eastAsia="黑体"/>
                <w:b/>
                <w:szCs w:val="21"/>
                <w:u w:val="none"/>
              </w:rPr>
            </w:pPr>
            <w:r>
              <w:rPr>
                <w:rFonts w:hint="eastAsia" w:ascii="黑体" w:hAnsi="黑体" w:eastAsia="黑体"/>
                <w:b/>
                <w:szCs w:val="21"/>
                <w:u w:val="none"/>
              </w:rPr>
              <w:t>课程名称</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firstLineChars="0"/>
              <w:jc w:val="center"/>
              <w:rPr>
                <w:rFonts w:hint="eastAsia" w:ascii="黑体" w:hAnsi="黑体" w:eastAsia="黑体"/>
                <w:b/>
                <w:szCs w:val="21"/>
                <w:u w:val="none"/>
              </w:rPr>
            </w:pPr>
            <w:r>
              <w:rPr>
                <w:rFonts w:hint="eastAsia" w:ascii="黑体" w:hAnsi="黑体" w:eastAsia="黑体"/>
                <w:b/>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restart"/>
            <w:tcBorders>
              <w:top w:val="single" w:color="auto" w:sz="4" w:space="0"/>
              <w:left w:val="single" w:color="auto" w:sz="4" w:space="0"/>
              <w:right w:val="single" w:color="auto" w:sz="4" w:space="0"/>
            </w:tcBorders>
            <w:noWrap w:val="0"/>
            <w:vAlign w:val="center"/>
          </w:tcPr>
          <w:p>
            <w:pPr>
              <w:adjustRightInd w:val="0"/>
              <w:ind w:firstLine="0" w:firstLineChars="0"/>
              <w:jc w:val="center"/>
              <w:rPr>
                <w:rFonts w:ascii="仿宋" w:hAnsi="仿宋" w:eastAsia="仿宋"/>
                <w:b/>
                <w:szCs w:val="21"/>
                <w:u w:val="none"/>
              </w:rPr>
            </w:pPr>
            <w:r>
              <w:rPr>
                <w:rFonts w:hint="eastAsia" w:ascii="仿宋" w:hAnsi="仿宋" w:eastAsia="仿宋"/>
                <w:b/>
                <w:szCs w:val="21"/>
                <w:u w:val="none"/>
              </w:rPr>
              <w:t>1</w:t>
            </w:r>
          </w:p>
          <w:p>
            <w:pPr>
              <w:adjustRightInd w:val="0"/>
              <w:ind w:firstLine="0" w:firstLineChars="0"/>
              <w:jc w:val="center"/>
              <w:rPr>
                <w:rFonts w:hint="eastAsia" w:ascii="仿宋" w:hAnsi="仿宋" w:eastAsia="仿宋"/>
                <w:b/>
                <w:szCs w:val="21"/>
                <w:u w:val="none"/>
              </w:rPr>
            </w:pPr>
          </w:p>
        </w:tc>
        <w:tc>
          <w:tcPr>
            <w:tcW w:w="1758" w:type="dxa"/>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ascii="仿宋" w:hAnsi="仿宋" w:eastAsia="仿宋" w:cs="宋体"/>
                <w:b/>
                <w:bCs/>
                <w:kern w:val="0"/>
                <w:szCs w:val="21"/>
                <w:u w:val="none"/>
              </w:rPr>
            </w:pPr>
            <w:r>
              <w:rPr>
                <w:rFonts w:hint="eastAsia" w:ascii="黑体" w:hAnsi="黑体" w:eastAsia="黑体" w:cs="黑体"/>
                <w:b/>
                <w:bCs/>
                <w:u w:val="none"/>
              </w:rPr>
              <w:t>公共基础课程</w:t>
            </w:r>
          </w:p>
          <w:p>
            <w:pPr>
              <w:spacing w:line="240" w:lineRule="exact"/>
              <w:ind w:firstLine="0" w:firstLineChars="0"/>
              <w:jc w:val="center"/>
              <w:rPr>
                <w:rFonts w:hint="eastAsia" w:ascii="仿宋" w:hAnsi="仿宋" w:eastAsia="仿宋"/>
                <w:b/>
                <w:bCs/>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（1）思想道德与法治</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（2）毛泽东思想和中国特色社会主义理论体系概论</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仿宋" w:hAnsi="仿宋" w:eastAsia="仿宋" w:cs="宋体"/>
                <w:kern w:val="0"/>
                <w:szCs w:val="21"/>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w:t>
            </w:r>
            <w:r>
              <w:rPr>
                <w:rFonts w:hint="eastAsia" w:ascii="宋体" w:hAnsi="宋体" w:cs="宋体"/>
                <w:kern w:val="0"/>
                <w:sz w:val="18"/>
                <w:szCs w:val="18"/>
                <w:lang w:val="en-US" w:eastAsia="zh-CN"/>
              </w:rPr>
              <w:t>3</w:t>
            </w:r>
            <w:r>
              <w:rPr>
                <w:rFonts w:hint="eastAsia" w:ascii="宋体" w:hAnsi="宋体" w:cs="宋体"/>
                <w:kern w:val="0"/>
                <w:sz w:val="18"/>
                <w:szCs w:val="18"/>
              </w:rPr>
              <w:t>）习近平新时代中国特色社会主义思想概论</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w:t>
            </w:r>
            <w:r>
              <w:rPr>
                <w:rFonts w:hint="eastAsia" w:ascii="宋体" w:hAnsi="宋体" w:cs="宋体"/>
                <w:kern w:val="0"/>
                <w:sz w:val="18"/>
                <w:szCs w:val="18"/>
                <w:u w:val="none"/>
                <w:lang w:val="en-US" w:eastAsia="zh-CN"/>
              </w:rPr>
              <w:t>4</w:t>
            </w:r>
            <w:r>
              <w:rPr>
                <w:rFonts w:hint="eastAsia" w:ascii="宋体" w:hAnsi="宋体" w:eastAsia="宋体" w:cs="宋体"/>
                <w:kern w:val="0"/>
                <w:sz w:val="18"/>
                <w:szCs w:val="18"/>
                <w:u w:val="none"/>
              </w:rPr>
              <w:t>）形势与政策</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仿宋" w:hAnsi="仿宋" w:eastAsia="仿宋" w:cs="宋体"/>
                <w:kern w:val="0"/>
                <w:szCs w:val="21"/>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lang w:eastAsia="zh-CN"/>
              </w:rPr>
            </w:pPr>
            <w:r>
              <w:rPr>
                <w:rFonts w:hint="eastAsia" w:ascii="宋体" w:hAnsi="宋体" w:eastAsia="宋体" w:cs="宋体"/>
                <w:kern w:val="0"/>
                <w:sz w:val="18"/>
                <w:szCs w:val="18"/>
                <w:u w:val="none"/>
              </w:rPr>
              <w:t>（</w:t>
            </w:r>
            <w:r>
              <w:rPr>
                <w:rFonts w:hint="eastAsia" w:ascii="宋体" w:hAnsi="宋体" w:cs="宋体"/>
                <w:kern w:val="0"/>
                <w:sz w:val="18"/>
                <w:szCs w:val="18"/>
                <w:u w:val="none"/>
                <w:lang w:val="en-US" w:eastAsia="zh-CN"/>
              </w:rPr>
              <w:t>5</w:t>
            </w:r>
            <w:r>
              <w:rPr>
                <w:rFonts w:hint="eastAsia" w:ascii="宋体" w:hAnsi="宋体" w:eastAsia="宋体" w:cs="宋体"/>
                <w:kern w:val="0"/>
                <w:sz w:val="18"/>
                <w:szCs w:val="18"/>
                <w:u w:val="none"/>
              </w:rPr>
              <w:t>）</w:t>
            </w:r>
            <w:r>
              <w:rPr>
                <w:rFonts w:hint="eastAsia" w:ascii="宋体" w:hAnsi="宋体" w:cs="宋体"/>
                <w:kern w:val="0"/>
                <w:sz w:val="18"/>
                <w:szCs w:val="18"/>
                <w:u w:val="none"/>
                <w:lang w:val="en-US" w:eastAsia="zh-CN"/>
              </w:rPr>
              <w:t>中共党史</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w:t>
            </w:r>
            <w:r>
              <w:rPr>
                <w:rFonts w:hint="eastAsia" w:ascii="宋体" w:hAnsi="宋体" w:cs="宋体"/>
                <w:kern w:val="0"/>
                <w:sz w:val="18"/>
                <w:szCs w:val="18"/>
                <w:u w:val="none"/>
                <w:lang w:val="en-US" w:eastAsia="zh-CN"/>
              </w:rPr>
              <w:t>6</w:t>
            </w:r>
            <w:r>
              <w:rPr>
                <w:rFonts w:hint="eastAsia" w:ascii="宋体" w:hAnsi="宋体" w:eastAsia="宋体" w:cs="宋体"/>
                <w:kern w:val="0"/>
                <w:sz w:val="18"/>
                <w:szCs w:val="18"/>
                <w:u w:val="none"/>
              </w:rPr>
              <w:t>）军事理论</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w:t>
            </w:r>
            <w:r>
              <w:rPr>
                <w:rFonts w:hint="eastAsia" w:ascii="宋体" w:hAnsi="宋体" w:cs="宋体"/>
                <w:kern w:val="0"/>
                <w:sz w:val="18"/>
                <w:szCs w:val="18"/>
                <w:u w:val="none"/>
                <w:lang w:val="en-US" w:eastAsia="zh-CN"/>
              </w:rPr>
              <w:t>7</w:t>
            </w:r>
            <w:r>
              <w:rPr>
                <w:rFonts w:hint="eastAsia" w:ascii="宋体" w:hAnsi="宋体" w:eastAsia="宋体" w:cs="宋体"/>
                <w:kern w:val="0"/>
                <w:sz w:val="18"/>
                <w:szCs w:val="18"/>
                <w:u w:val="none"/>
              </w:rPr>
              <w:t>）军事技能</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w:t>
            </w:r>
            <w:r>
              <w:rPr>
                <w:rFonts w:hint="eastAsia" w:ascii="宋体" w:hAnsi="宋体" w:cs="宋体"/>
                <w:kern w:val="0"/>
                <w:sz w:val="18"/>
                <w:szCs w:val="18"/>
                <w:u w:val="none"/>
                <w:lang w:val="en-US" w:eastAsia="zh-CN"/>
              </w:rPr>
              <w:t>8</w:t>
            </w:r>
            <w:r>
              <w:rPr>
                <w:rFonts w:hint="eastAsia" w:ascii="宋体" w:hAnsi="宋体" w:eastAsia="宋体" w:cs="宋体"/>
                <w:kern w:val="0"/>
                <w:sz w:val="18"/>
                <w:szCs w:val="18"/>
                <w:u w:val="none"/>
              </w:rPr>
              <w:t>）心理健康教育</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default" w:ascii="宋体" w:hAnsi="宋体" w:eastAsia="宋体" w:cs="宋体"/>
                <w:kern w:val="0"/>
                <w:sz w:val="18"/>
                <w:szCs w:val="18"/>
                <w:u w:val="none"/>
                <w:lang w:val="en-US" w:eastAsia="zh-CN"/>
              </w:rPr>
            </w:pPr>
            <w:r>
              <w:rPr>
                <w:rFonts w:hint="eastAsia" w:ascii="宋体" w:hAnsi="宋体" w:eastAsia="宋体" w:cs="宋体"/>
                <w:kern w:val="0"/>
                <w:sz w:val="18"/>
                <w:szCs w:val="18"/>
                <w:u w:val="none"/>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w:t>
            </w:r>
            <w:r>
              <w:rPr>
                <w:rFonts w:hint="eastAsia" w:ascii="宋体" w:hAnsi="宋体" w:cs="宋体"/>
                <w:kern w:val="0"/>
                <w:sz w:val="18"/>
                <w:szCs w:val="18"/>
                <w:u w:val="none"/>
                <w:lang w:val="en-US" w:eastAsia="zh-CN"/>
              </w:rPr>
              <w:t>9</w:t>
            </w:r>
            <w:r>
              <w:rPr>
                <w:rFonts w:hint="eastAsia" w:ascii="宋体" w:hAnsi="宋体" w:eastAsia="宋体" w:cs="宋体"/>
                <w:kern w:val="0"/>
                <w:sz w:val="18"/>
                <w:szCs w:val="18"/>
                <w:u w:val="none"/>
              </w:rPr>
              <w:t>）职业发展与就业指导</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（10）高等数学</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1</w:t>
            </w:r>
            <w:r>
              <w:rPr>
                <w:rFonts w:hint="eastAsia" w:ascii="宋体" w:hAnsi="宋体" w:eastAsia="宋体" w:cs="宋体"/>
                <w:kern w:val="0"/>
                <w:sz w:val="18"/>
                <w:szCs w:val="18"/>
                <w:u w:val="none"/>
              </w:rPr>
              <w:t>）英语</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2</w:t>
            </w:r>
            <w:r>
              <w:rPr>
                <w:rFonts w:hint="eastAsia" w:ascii="宋体" w:hAnsi="宋体" w:eastAsia="宋体" w:cs="宋体"/>
                <w:kern w:val="0"/>
                <w:sz w:val="18"/>
                <w:szCs w:val="18"/>
                <w:u w:val="none"/>
              </w:rPr>
              <w:t>）信息技术基础</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3</w:t>
            </w:r>
            <w:r>
              <w:rPr>
                <w:rFonts w:hint="eastAsia" w:ascii="宋体" w:hAnsi="宋体" w:eastAsia="宋体" w:cs="宋体"/>
                <w:kern w:val="0"/>
                <w:sz w:val="18"/>
                <w:szCs w:val="18"/>
                <w:u w:val="none"/>
              </w:rPr>
              <w:t>）体育</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4</w:t>
            </w:r>
            <w:r>
              <w:rPr>
                <w:rFonts w:hint="eastAsia" w:ascii="宋体" w:hAnsi="宋体" w:eastAsia="宋体" w:cs="宋体"/>
                <w:kern w:val="0"/>
                <w:sz w:val="18"/>
                <w:szCs w:val="18"/>
                <w:u w:val="none"/>
              </w:rPr>
              <w:t>）大学语文</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5</w:t>
            </w:r>
            <w:r>
              <w:rPr>
                <w:rFonts w:hint="eastAsia" w:ascii="宋体" w:hAnsi="宋体" w:eastAsia="宋体" w:cs="宋体"/>
                <w:kern w:val="0"/>
                <w:sz w:val="18"/>
                <w:szCs w:val="18"/>
                <w:u w:val="none"/>
              </w:rPr>
              <w:t>）建筑美学鉴赏</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6</w:t>
            </w:r>
            <w:r>
              <w:rPr>
                <w:rFonts w:hint="eastAsia" w:ascii="宋体" w:hAnsi="宋体" w:eastAsia="宋体" w:cs="宋体"/>
                <w:kern w:val="0"/>
                <w:sz w:val="18"/>
                <w:szCs w:val="18"/>
                <w:u w:val="none"/>
              </w:rPr>
              <w:t>）劳动教育</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7</w:t>
            </w:r>
            <w:r>
              <w:rPr>
                <w:rFonts w:hint="eastAsia" w:ascii="宋体" w:hAnsi="宋体" w:eastAsia="宋体" w:cs="宋体"/>
                <w:kern w:val="0"/>
                <w:sz w:val="18"/>
                <w:szCs w:val="18"/>
                <w:u w:val="none"/>
              </w:rPr>
              <w:t>）大学生国家安全教育</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8</w:t>
            </w:r>
            <w:r>
              <w:rPr>
                <w:rFonts w:hint="eastAsia" w:ascii="宋体" w:hAnsi="宋体" w:eastAsia="宋体" w:cs="宋体"/>
                <w:kern w:val="0"/>
                <w:sz w:val="18"/>
                <w:szCs w:val="18"/>
                <w:u w:val="none"/>
              </w:rPr>
              <w:t>）大学生创新基础</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（1</w:t>
            </w:r>
            <w:r>
              <w:rPr>
                <w:rFonts w:hint="eastAsia" w:ascii="宋体" w:hAnsi="宋体" w:cs="宋体"/>
                <w:kern w:val="0"/>
                <w:sz w:val="18"/>
                <w:szCs w:val="18"/>
                <w:u w:val="none"/>
                <w:lang w:val="en-US" w:eastAsia="zh-CN"/>
              </w:rPr>
              <w:t>9</w:t>
            </w:r>
            <w:r>
              <w:rPr>
                <w:rFonts w:hint="eastAsia" w:ascii="宋体" w:hAnsi="宋体" w:eastAsia="宋体" w:cs="宋体"/>
                <w:kern w:val="0"/>
                <w:sz w:val="18"/>
                <w:szCs w:val="18"/>
                <w:u w:val="none"/>
              </w:rPr>
              <w:t>）大学生防艾健康教育</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eastAsia="宋体" w:cs="宋体"/>
                <w:kern w:val="0"/>
                <w:sz w:val="18"/>
                <w:szCs w:val="18"/>
                <w:u w:val="none"/>
              </w:rPr>
            </w:pPr>
            <w:r>
              <w:rPr>
                <w:rFonts w:hint="eastAsia" w:ascii="宋体" w:hAnsi="宋体" w:eastAsia="宋体" w:cs="宋体"/>
                <w:kern w:val="0"/>
                <w:sz w:val="18"/>
                <w:szCs w:val="18"/>
                <w:u w:val="none"/>
              </w:rPr>
              <w:t>（</w:t>
            </w:r>
            <w:r>
              <w:rPr>
                <w:rFonts w:hint="eastAsia" w:ascii="宋体" w:hAnsi="宋体" w:cs="宋体"/>
                <w:kern w:val="0"/>
                <w:sz w:val="18"/>
                <w:szCs w:val="18"/>
                <w:u w:val="none"/>
                <w:lang w:val="en-US" w:eastAsia="zh-CN"/>
              </w:rPr>
              <w:t>20</w:t>
            </w:r>
            <w:r>
              <w:rPr>
                <w:rFonts w:hint="eastAsia" w:ascii="宋体" w:hAnsi="宋体" w:eastAsia="宋体" w:cs="宋体"/>
                <w:kern w:val="0"/>
                <w:sz w:val="18"/>
                <w:szCs w:val="18"/>
                <w:u w:val="none"/>
              </w:rPr>
              <w:t>）大学生创业基础</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restart"/>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
                <w:szCs w:val="21"/>
                <w:u w:val="none"/>
              </w:rPr>
            </w:pPr>
            <w:r>
              <w:rPr>
                <w:rFonts w:hint="eastAsia" w:ascii="仿宋" w:hAnsi="仿宋" w:eastAsia="仿宋"/>
                <w:b/>
                <w:szCs w:val="21"/>
                <w:u w:val="none"/>
              </w:rPr>
              <w:t>2</w:t>
            </w:r>
          </w:p>
        </w:tc>
        <w:tc>
          <w:tcPr>
            <w:tcW w:w="1758" w:type="dxa"/>
            <w:vMerge w:val="restart"/>
            <w:tcBorders>
              <w:left w:val="single" w:color="auto" w:sz="4" w:space="0"/>
              <w:right w:val="single" w:color="auto" w:sz="4" w:space="0"/>
            </w:tcBorders>
            <w:noWrap w:val="0"/>
            <w:vAlign w:val="center"/>
          </w:tcPr>
          <w:p>
            <w:pPr>
              <w:adjustRightInd w:val="0"/>
              <w:spacing w:line="240" w:lineRule="exact"/>
              <w:ind w:firstLine="0" w:firstLineChars="0"/>
              <w:jc w:val="center"/>
              <w:rPr>
                <w:rFonts w:hint="eastAsia" w:ascii="仿宋" w:hAnsi="仿宋" w:eastAsia="仿宋"/>
                <w:szCs w:val="21"/>
                <w:u w:val="none"/>
              </w:rPr>
            </w:pPr>
            <w:r>
              <w:rPr>
                <w:rFonts w:hint="eastAsia" w:ascii="黑体" w:hAnsi="黑体" w:eastAsia="黑体" w:cs="黑体"/>
                <w:b/>
                <w:bCs/>
                <w:kern w:val="0"/>
                <w:szCs w:val="21"/>
                <w:u w:val="none"/>
              </w:rPr>
              <w:t>专业基础课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（1）建筑制图与识图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adjustRightInd w:val="0"/>
              <w:ind w:firstLine="0" w:firstLineChars="0"/>
              <w:jc w:val="center"/>
              <w:rPr>
                <w:rFonts w:hint="eastAsia" w:ascii="仿宋" w:hAnsi="仿宋" w:eastAsia="仿宋" w:cs="宋体"/>
                <w:b/>
                <w:bCs/>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ascii="宋体" w:hAnsi="宋体" w:cs="宋体"/>
                <w:kern w:val="0"/>
                <w:sz w:val="18"/>
                <w:szCs w:val="18"/>
                <w:u w:val="none"/>
              </w:rPr>
            </w:pPr>
            <w:r>
              <w:rPr>
                <w:rFonts w:hint="eastAsia" w:ascii="宋体" w:hAnsi="宋体" w:cs="宋体"/>
                <w:kern w:val="0"/>
                <w:sz w:val="18"/>
                <w:szCs w:val="18"/>
                <w:u w:val="none"/>
              </w:rPr>
              <w:t>（2）建筑材料</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ascii="宋体" w:hAnsi="宋体" w:cs="宋体"/>
                <w:kern w:val="0"/>
                <w:sz w:val="18"/>
                <w:szCs w:val="18"/>
                <w:u w:val="none"/>
              </w:rPr>
            </w:pPr>
            <w:r>
              <w:rPr>
                <w:rFonts w:hint="eastAsia" w:ascii="宋体" w:hAnsi="宋体" w:cs="宋体"/>
                <w:kern w:val="0"/>
                <w:sz w:val="18"/>
                <w:szCs w:val="18"/>
                <w:u w:val="none"/>
              </w:rPr>
              <w:t>（3）</w:t>
            </w:r>
            <w:r>
              <w:rPr>
                <w:rFonts w:hint="eastAsia" w:ascii="宋体" w:hAnsi="宋体" w:cs="宋体"/>
                <w:color w:val="auto"/>
                <w:kern w:val="0"/>
                <w:sz w:val="18"/>
                <w:szCs w:val="18"/>
                <w:u w:val="none"/>
              </w:rPr>
              <w:t>统计基础</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（4）房屋建筑学</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（5）建筑力学</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（6）建筑结构</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（7）建筑CAD</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（8）建筑工程合同管理与法规</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（9）建筑设备与安装识图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（10）工程测量</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Cs/>
                <w:szCs w:val="21"/>
                <w:u w:val="none"/>
              </w:rPr>
            </w:pPr>
          </w:p>
        </w:tc>
        <w:tc>
          <w:tcPr>
            <w:tcW w:w="1758" w:type="dxa"/>
            <w:vMerge w:val="continue"/>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（11）建筑施工技术</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sz w:val="18"/>
                <w:szCs w:val="18"/>
                <w:u w:val="none"/>
              </w:rPr>
            </w:pPr>
            <w:r>
              <w:rPr>
                <w:rFonts w:hint="eastAsia" w:ascii="宋体" w:hAnsi="宋体"/>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restart"/>
            <w:tcBorders>
              <w:left w:val="single" w:color="auto" w:sz="4" w:space="0"/>
              <w:right w:val="single" w:color="auto" w:sz="4" w:space="0"/>
            </w:tcBorders>
            <w:noWrap w:val="0"/>
            <w:vAlign w:val="center"/>
          </w:tcPr>
          <w:p>
            <w:pPr>
              <w:widowControl/>
              <w:adjustRightInd w:val="0"/>
              <w:ind w:firstLine="0" w:firstLineChars="0"/>
              <w:jc w:val="center"/>
              <w:rPr>
                <w:rFonts w:hint="eastAsia" w:ascii="仿宋" w:hAnsi="仿宋" w:eastAsia="仿宋"/>
                <w:b/>
                <w:szCs w:val="21"/>
                <w:u w:val="none"/>
              </w:rPr>
            </w:pPr>
            <w:r>
              <w:rPr>
                <w:rFonts w:hint="eastAsia" w:ascii="仿宋" w:hAnsi="仿宋" w:eastAsia="仿宋"/>
                <w:b/>
                <w:szCs w:val="21"/>
                <w:u w:val="none"/>
              </w:rPr>
              <w:t>3</w:t>
            </w:r>
          </w:p>
        </w:tc>
        <w:tc>
          <w:tcPr>
            <w:tcW w:w="1758" w:type="dxa"/>
            <w:vMerge w:val="restart"/>
            <w:tcBorders>
              <w:left w:val="single" w:color="auto" w:sz="4" w:space="0"/>
              <w:right w:val="single" w:color="auto" w:sz="4" w:space="0"/>
            </w:tcBorders>
            <w:noWrap w:val="0"/>
            <w:vAlign w:val="center"/>
          </w:tcPr>
          <w:p>
            <w:pPr>
              <w:adjustRightInd w:val="0"/>
              <w:spacing w:line="240" w:lineRule="exact"/>
              <w:ind w:firstLine="0" w:firstLineChars="0"/>
              <w:jc w:val="center"/>
              <w:rPr>
                <w:rFonts w:hint="eastAsia" w:ascii="仿宋" w:hAnsi="仿宋" w:eastAsia="仿宋" w:cs="宋体"/>
                <w:b/>
                <w:bCs/>
                <w:kern w:val="0"/>
                <w:szCs w:val="21"/>
                <w:u w:val="none"/>
              </w:rPr>
            </w:pPr>
            <w:r>
              <w:rPr>
                <w:rFonts w:hint="eastAsia" w:ascii="黑体" w:hAnsi="黑体" w:eastAsia="黑体" w:cs="黑体"/>
                <w:b/>
                <w:bCs/>
                <w:kern w:val="0"/>
                <w:szCs w:val="21"/>
                <w:u w:val="none"/>
              </w:rPr>
              <w:t>专业技能课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b/>
                <w:bCs/>
                <w:kern w:val="0"/>
                <w:sz w:val="18"/>
                <w:szCs w:val="18"/>
                <w:u w:val="none"/>
              </w:rPr>
            </w:pPr>
            <w:r>
              <w:rPr>
                <w:rFonts w:hint="eastAsia" w:ascii="宋体" w:hAnsi="宋体" w:cs="宋体"/>
                <w:b/>
                <w:bCs/>
                <w:kern w:val="0"/>
                <w:sz w:val="18"/>
                <w:szCs w:val="18"/>
                <w:u w:val="none"/>
              </w:rPr>
              <w:t>（</w:t>
            </w:r>
            <w:r>
              <w:rPr>
                <w:rFonts w:ascii="宋体" w:hAnsi="宋体" w:cs="宋体"/>
                <w:b/>
                <w:bCs/>
                <w:kern w:val="0"/>
                <w:sz w:val="18"/>
                <w:szCs w:val="18"/>
                <w:u w:val="none"/>
              </w:rPr>
              <w:t>1</w:t>
            </w:r>
            <w:r>
              <w:rPr>
                <w:rFonts w:hint="eastAsia" w:ascii="宋体" w:hAnsi="宋体" w:cs="宋体"/>
                <w:b/>
                <w:bCs/>
                <w:kern w:val="0"/>
                <w:sz w:val="18"/>
                <w:szCs w:val="18"/>
                <w:u w:val="none"/>
              </w:rPr>
              <w:t>）混凝土结构施工图平法识图</w:t>
            </w:r>
          </w:p>
        </w:tc>
        <w:tc>
          <w:tcPr>
            <w:tcW w:w="18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pacing w:line="240" w:lineRule="exact"/>
              <w:ind w:firstLine="0" w:firstLineChars="0"/>
              <w:rPr>
                <w:rFonts w:ascii="宋体" w:hAnsi="宋体"/>
                <w:b/>
                <w:bCs/>
                <w:sz w:val="18"/>
                <w:szCs w:val="18"/>
                <w:u w:val="none"/>
              </w:rPr>
            </w:pPr>
            <w:r>
              <w:rPr>
                <w:rFonts w:hint="eastAsia" w:ascii="宋体" w:hAnsi="宋体"/>
                <w:b/>
                <w:bCs/>
                <w:sz w:val="18"/>
                <w:szCs w:val="18"/>
                <w:u w:val="none"/>
              </w:rPr>
              <w:t>必修、专业核心课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b/>
                <w:bCs/>
                <w:kern w:val="0"/>
                <w:sz w:val="18"/>
                <w:szCs w:val="18"/>
                <w:u w:val="none"/>
              </w:rPr>
            </w:pPr>
            <w:r>
              <w:rPr>
                <w:rFonts w:hint="eastAsia" w:ascii="宋体" w:hAnsi="宋体" w:cs="宋体"/>
                <w:b/>
                <w:bCs/>
                <w:kern w:val="0"/>
                <w:sz w:val="18"/>
                <w:szCs w:val="18"/>
                <w:u w:val="none"/>
              </w:rPr>
              <w:t>（</w:t>
            </w:r>
            <w:r>
              <w:rPr>
                <w:rFonts w:ascii="宋体" w:hAnsi="宋体" w:cs="宋体"/>
                <w:b/>
                <w:bCs/>
                <w:kern w:val="0"/>
                <w:sz w:val="18"/>
                <w:szCs w:val="18"/>
                <w:u w:val="none"/>
              </w:rPr>
              <w:t>2</w:t>
            </w:r>
            <w:r>
              <w:rPr>
                <w:rFonts w:hint="eastAsia" w:ascii="宋体" w:hAnsi="宋体" w:cs="宋体"/>
                <w:b/>
                <w:bCs/>
                <w:kern w:val="0"/>
                <w:sz w:val="18"/>
                <w:szCs w:val="18"/>
                <w:u w:val="none"/>
              </w:rPr>
              <w:t>）工程经济学</w:t>
            </w:r>
          </w:p>
        </w:tc>
        <w:tc>
          <w:tcPr>
            <w:tcW w:w="18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pacing w:line="240" w:lineRule="exact"/>
              <w:ind w:firstLine="0" w:firstLineChars="0"/>
              <w:rPr>
                <w:rFonts w:ascii="宋体" w:hAnsi="宋体"/>
                <w:b/>
                <w:bCs/>
                <w:sz w:val="18"/>
                <w:szCs w:val="18"/>
                <w:u w:val="none"/>
              </w:rPr>
            </w:pPr>
            <w:r>
              <w:rPr>
                <w:rFonts w:hint="eastAsia" w:ascii="宋体" w:hAnsi="宋体"/>
                <w:b/>
                <w:bCs/>
                <w:sz w:val="18"/>
                <w:szCs w:val="18"/>
                <w:u w:val="none"/>
              </w:rPr>
              <w:t>必修、专业核心课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b/>
                <w:bCs/>
                <w:kern w:val="0"/>
                <w:sz w:val="18"/>
                <w:szCs w:val="18"/>
                <w:u w:val="none"/>
              </w:rPr>
            </w:pPr>
            <w:r>
              <w:rPr>
                <w:rFonts w:hint="eastAsia" w:ascii="宋体" w:hAnsi="宋体" w:cs="宋体"/>
                <w:b/>
                <w:bCs/>
                <w:kern w:val="0"/>
                <w:sz w:val="18"/>
                <w:szCs w:val="18"/>
                <w:u w:val="none"/>
              </w:rPr>
              <w:t>（3）工程项目管理</w:t>
            </w:r>
          </w:p>
        </w:tc>
        <w:tc>
          <w:tcPr>
            <w:tcW w:w="18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pacing w:line="240" w:lineRule="exact"/>
              <w:ind w:firstLine="0" w:firstLineChars="0"/>
              <w:rPr>
                <w:rFonts w:hint="eastAsia" w:ascii="宋体" w:hAnsi="宋体"/>
                <w:b/>
                <w:bCs/>
                <w:sz w:val="18"/>
                <w:szCs w:val="18"/>
                <w:u w:val="none"/>
              </w:rPr>
            </w:pPr>
            <w:r>
              <w:rPr>
                <w:rFonts w:hint="eastAsia" w:ascii="宋体" w:hAnsi="宋体"/>
                <w:b/>
                <w:bCs/>
                <w:sz w:val="18"/>
                <w:szCs w:val="18"/>
                <w:u w:val="none"/>
              </w:rPr>
              <w:t>必修、专业核心课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b/>
                <w:bCs/>
                <w:kern w:val="0"/>
                <w:sz w:val="18"/>
                <w:szCs w:val="18"/>
                <w:u w:val="none"/>
              </w:rPr>
            </w:pPr>
            <w:r>
              <w:rPr>
                <w:rFonts w:hint="eastAsia" w:ascii="宋体" w:hAnsi="宋体" w:cs="宋体"/>
                <w:b/>
                <w:bCs/>
                <w:kern w:val="0"/>
                <w:sz w:val="18"/>
                <w:szCs w:val="18"/>
                <w:u w:val="none"/>
              </w:rPr>
              <w:t>（4）建筑工程计量与计价（上册）</w:t>
            </w:r>
          </w:p>
        </w:tc>
        <w:tc>
          <w:tcPr>
            <w:tcW w:w="18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pacing w:line="240" w:lineRule="exact"/>
              <w:ind w:firstLine="0" w:firstLineChars="0"/>
              <w:rPr>
                <w:rFonts w:ascii="宋体" w:hAnsi="宋体"/>
                <w:b/>
                <w:bCs/>
                <w:sz w:val="18"/>
                <w:szCs w:val="18"/>
                <w:u w:val="none"/>
              </w:rPr>
            </w:pPr>
            <w:r>
              <w:rPr>
                <w:rFonts w:hint="eastAsia" w:ascii="宋体" w:hAnsi="宋体"/>
                <w:b/>
                <w:bCs/>
                <w:sz w:val="18"/>
                <w:szCs w:val="18"/>
                <w:u w:val="none"/>
              </w:rPr>
              <w:t>必修、专业核心课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b/>
                <w:bCs/>
                <w:kern w:val="0"/>
                <w:sz w:val="18"/>
                <w:szCs w:val="18"/>
                <w:u w:val="none"/>
              </w:rPr>
            </w:pPr>
            <w:r>
              <w:rPr>
                <w:rFonts w:hint="eastAsia" w:ascii="宋体" w:hAnsi="宋体" w:cs="宋体"/>
                <w:b/>
                <w:bCs/>
                <w:kern w:val="0"/>
                <w:sz w:val="18"/>
                <w:szCs w:val="18"/>
                <w:u w:val="none"/>
              </w:rPr>
              <w:t>（5）建筑工程计量与计价（下册）</w:t>
            </w:r>
          </w:p>
        </w:tc>
        <w:tc>
          <w:tcPr>
            <w:tcW w:w="18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pacing w:line="240" w:lineRule="exact"/>
              <w:ind w:firstLine="0" w:firstLineChars="0"/>
              <w:rPr>
                <w:rFonts w:ascii="宋体" w:hAnsi="宋体"/>
                <w:b/>
                <w:bCs/>
                <w:sz w:val="18"/>
                <w:szCs w:val="18"/>
                <w:u w:val="none"/>
              </w:rPr>
            </w:pPr>
            <w:r>
              <w:rPr>
                <w:rFonts w:hint="eastAsia" w:ascii="宋体" w:hAnsi="宋体"/>
                <w:b/>
                <w:bCs/>
                <w:sz w:val="18"/>
                <w:szCs w:val="18"/>
                <w:u w:val="none"/>
              </w:rPr>
              <w:t>必修、专业核心课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b/>
                <w:bCs/>
                <w:kern w:val="0"/>
                <w:sz w:val="18"/>
                <w:szCs w:val="18"/>
                <w:u w:val="none"/>
              </w:rPr>
            </w:pPr>
            <w:r>
              <w:rPr>
                <w:rFonts w:hint="eastAsia" w:ascii="宋体" w:hAnsi="宋体" w:cs="宋体"/>
                <w:b/>
                <w:bCs/>
                <w:kern w:val="0"/>
                <w:sz w:val="18"/>
                <w:szCs w:val="18"/>
                <w:u w:val="none"/>
              </w:rPr>
              <w:t>（6）建设工程造价管理与投资审计</w:t>
            </w:r>
          </w:p>
        </w:tc>
        <w:tc>
          <w:tcPr>
            <w:tcW w:w="18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pacing w:line="240" w:lineRule="exact"/>
              <w:ind w:firstLine="0" w:firstLineChars="0"/>
              <w:rPr>
                <w:rFonts w:ascii="宋体" w:hAnsi="宋体"/>
                <w:b/>
                <w:bCs/>
                <w:sz w:val="18"/>
                <w:szCs w:val="18"/>
                <w:u w:val="none"/>
              </w:rPr>
            </w:pPr>
            <w:r>
              <w:rPr>
                <w:rFonts w:hint="eastAsia" w:ascii="宋体" w:hAnsi="宋体"/>
                <w:b/>
                <w:bCs/>
                <w:sz w:val="18"/>
                <w:szCs w:val="18"/>
                <w:u w:val="none"/>
              </w:rPr>
              <w:t>必修、专业核心课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2"/>
              <w:jc w:val="center"/>
              <w:rPr>
                <w:rFonts w:hint="eastAsia" w:ascii="仿宋" w:hAnsi="仿宋" w:eastAsia="仿宋"/>
                <w:b/>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b/>
                <w:bCs/>
                <w:kern w:val="0"/>
                <w:sz w:val="18"/>
                <w:szCs w:val="18"/>
                <w:u w:val="none"/>
              </w:rPr>
              <w:t>（7）工程造价信息化(广联达/品茗等软件）</w:t>
            </w:r>
          </w:p>
        </w:tc>
        <w:tc>
          <w:tcPr>
            <w:tcW w:w="18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pacing w:line="240" w:lineRule="exact"/>
              <w:ind w:firstLine="0" w:firstLineChars="0"/>
              <w:rPr>
                <w:rFonts w:ascii="宋体" w:hAnsi="宋体"/>
                <w:sz w:val="18"/>
                <w:szCs w:val="18"/>
                <w:u w:val="none"/>
              </w:rPr>
            </w:pPr>
            <w:r>
              <w:rPr>
                <w:rFonts w:hint="eastAsia" w:ascii="宋体" w:hAnsi="宋体"/>
                <w:b/>
                <w:bCs/>
                <w:sz w:val="18"/>
                <w:szCs w:val="18"/>
                <w:u w:val="none"/>
              </w:rPr>
              <w:t>必修、专业核心课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restart"/>
            <w:tcBorders>
              <w:left w:val="single" w:color="auto" w:sz="4" w:space="0"/>
              <w:right w:val="single" w:color="auto" w:sz="4" w:space="0"/>
            </w:tcBorders>
            <w:noWrap w:val="0"/>
            <w:vAlign w:val="center"/>
          </w:tcPr>
          <w:p>
            <w:pPr>
              <w:widowControl/>
              <w:spacing w:line="240" w:lineRule="auto"/>
              <w:ind w:firstLine="0" w:firstLineChars="0"/>
              <w:jc w:val="center"/>
              <w:rPr>
                <w:rFonts w:hint="eastAsia" w:ascii="黑体" w:hAnsi="黑体" w:eastAsia="黑体" w:cs="黑体"/>
                <w:b/>
                <w:bCs/>
                <w:kern w:val="0"/>
                <w:szCs w:val="21"/>
                <w:u w:val="none"/>
              </w:rPr>
            </w:pPr>
            <w:r>
              <w:rPr>
                <w:rFonts w:hint="eastAsia" w:ascii="黑体" w:hAnsi="黑体" w:eastAsia="黑体" w:cs="黑体"/>
                <w:b/>
                <w:bCs/>
                <w:kern w:val="0"/>
                <w:szCs w:val="21"/>
                <w:u w:val="none"/>
              </w:rPr>
              <w:t>4</w:t>
            </w:r>
          </w:p>
        </w:tc>
        <w:tc>
          <w:tcPr>
            <w:tcW w:w="1758" w:type="dxa"/>
            <w:vMerge w:val="restart"/>
            <w:tcBorders>
              <w:left w:val="single" w:color="auto" w:sz="4" w:space="0"/>
              <w:right w:val="single" w:color="auto" w:sz="4" w:space="0"/>
            </w:tcBorders>
            <w:noWrap w:val="0"/>
            <w:vAlign w:val="center"/>
          </w:tcPr>
          <w:p>
            <w:pPr>
              <w:widowControl/>
              <w:spacing w:line="240" w:lineRule="auto"/>
              <w:ind w:firstLine="0" w:firstLineChars="0"/>
              <w:jc w:val="center"/>
              <w:rPr>
                <w:rFonts w:hint="eastAsia" w:ascii="仿宋" w:hAnsi="仿宋" w:eastAsia="仿宋" w:cs="宋体"/>
                <w:kern w:val="0"/>
                <w:szCs w:val="21"/>
                <w:u w:val="none"/>
              </w:rPr>
            </w:pPr>
            <w:r>
              <w:rPr>
                <w:rFonts w:hint="eastAsia" w:ascii="黑体" w:hAnsi="黑体" w:eastAsia="黑体" w:cs="黑体"/>
                <w:b/>
                <w:bCs/>
                <w:kern w:val="0"/>
                <w:szCs w:val="21"/>
                <w:u w:val="none"/>
              </w:rPr>
              <w:t>专业拓展（实践）课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（1）BIM建模基础</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（2）装配式建筑</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（3）管理学基础</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cs="宋体"/>
                <w:kern w:val="0"/>
                <w:sz w:val="18"/>
                <w:szCs w:val="18"/>
                <w:u w:val="none"/>
              </w:rPr>
            </w:pPr>
            <w:r>
              <w:rPr>
                <w:rFonts w:hint="eastAsia" w:ascii="宋体" w:hAnsi="宋体" w:cs="宋体"/>
                <w:kern w:val="0"/>
                <w:sz w:val="18"/>
                <w:szCs w:val="18"/>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（4）应用文写作</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cs="宋体"/>
                <w:kern w:val="0"/>
                <w:sz w:val="18"/>
                <w:szCs w:val="18"/>
                <w:u w:val="none"/>
              </w:rPr>
            </w:pPr>
            <w:r>
              <w:rPr>
                <w:rFonts w:hint="eastAsia" w:ascii="宋体" w:hAnsi="宋体"/>
                <w:sz w:val="18"/>
                <w:szCs w:val="18"/>
                <w:u w:val="none"/>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1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szCs w:val="21"/>
                <w:u w:val="none"/>
              </w:rPr>
            </w:pPr>
          </w:p>
        </w:tc>
        <w:tc>
          <w:tcPr>
            <w:tcW w:w="1758" w:type="dxa"/>
            <w:vMerge w:val="continue"/>
            <w:tcBorders>
              <w:left w:val="single" w:color="auto" w:sz="4" w:space="0"/>
              <w:right w:val="single" w:color="auto" w:sz="4" w:space="0"/>
            </w:tcBorders>
            <w:noWrap w:val="0"/>
            <w:vAlign w:val="center"/>
          </w:tcPr>
          <w:p>
            <w:pPr>
              <w:widowControl/>
              <w:ind w:firstLine="480"/>
              <w:rPr>
                <w:rFonts w:hint="eastAsia" w:ascii="仿宋" w:hAnsi="仿宋" w:eastAsia="仿宋" w:cs="宋体"/>
                <w:kern w:val="0"/>
                <w:szCs w:val="21"/>
                <w:u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jc w:val="left"/>
              <w:rPr>
                <w:rFonts w:hint="eastAsia" w:ascii="宋体" w:hAnsi="宋体" w:cs="宋体"/>
                <w:kern w:val="0"/>
                <w:sz w:val="18"/>
                <w:szCs w:val="18"/>
                <w:u w:val="none"/>
              </w:rPr>
            </w:pPr>
            <w:r>
              <w:rPr>
                <w:rFonts w:hint="eastAsia" w:ascii="宋体" w:hAnsi="宋体" w:cs="宋体"/>
                <w:kern w:val="0"/>
                <w:sz w:val="18"/>
                <w:szCs w:val="18"/>
                <w:u w:val="none"/>
              </w:rPr>
              <w:t>（5）毕业综合实训（1+X BIM/1+X 识图）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exact"/>
              <w:ind w:firstLine="0" w:firstLineChars="0"/>
              <w:rPr>
                <w:rFonts w:hint="eastAsia" w:ascii="宋体" w:hAnsi="宋体" w:cs="宋体"/>
                <w:kern w:val="0"/>
                <w:sz w:val="18"/>
                <w:szCs w:val="18"/>
                <w:u w:val="none"/>
              </w:rPr>
            </w:pPr>
            <w:r>
              <w:rPr>
                <w:rFonts w:hint="eastAsia" w:ascii="宋体" w:hAnsi="宋体" w:cs="宋体"/>
                <w:kern w:val="0"/>
                <w:sz w:val="18"/>
                <w:szCs w:val="18"/>
                <w:u w:val="none"/>
              </w:rPr>
              <w:t>必修</w:t>
            </w:r>
          </w:p>
        </w:tc>
      </w:tr>
    </w:tbl>
    <w:p>
      <w:pPr>
        <w:pStyle w:val="4"/>
        <w:adjustRightInd w:val="0"/>
        <w:snapToGrid w:val="0"/>
        <w:ind w:firstLine="482"/>
        <w:rPr>
          <w:rFonts w:hint="eastAsia"/>
          <w:u w:val="none"/>
        </w:rPr>
      </w:pPr>
      <w:r>
        <w:rPr>
          <w:rFonts w:hint="eastAsia"/>
          <w:u w:val="none"/>
        </w:rPr>
        <w:t>（二）课程设置</w:t>
      </w:r>
      <w:bookmarkEnd w:id="73"/>
      <w:bookmarkEnd w:id="74"/>
      <w:bookmarkEnd w:id="75"/>
      <w:bookmarkEnd w:id="76"/>
      <w:bookmarkEnd w:id="77"/>
    </w:p>
    <w:p>
      <w:pPr>
        <w:adjustRightInd w:val="0"/>
        <w:snapToGrid w:val="0"/>
        <w:ind w:firstLine="480"/>
        <w:rPr>
          <w:rFonts w:hint="eastAsia" w:ascii="楷体" w:hAnsi="楷体" w:eastAsia="楷体"/>
          <w:b/>
          <w:sz w:val="28"/>
          <w:szCs w:val="28"/>
          <w:u w:val="none"/>
        </w:rPr>
      </w:pPr>
      <w:bookmarkStart w:id="78" w:name="_Toc24832_WPSOffice_Level3"/>
      <w:bookmarkStart w:id="79" w:name="_Toc26592"/>
      <w:bookmarkStart w:id="80" w:name="_Toc9725_WPSOffice_Level3"/>
      <w:bookmarkStart w:id="81" w:name="_Toc5305_WPSOffice_Level3"/>
      <w:bookmarkStart w:id="82" w:name="_Toc32586_WPSOffice_Level3"/>
      <w:r>
        <w:rPr>
          <w:rFonts w:hint="eastAsia"/>
          <w:u w:val="none"/>
        </w:rPr>
        <w:t>本着以“服务需求、就业导向”，以育人为中心，以能力为本位，根据专业培养目标和典型工作任务要求，本专业课程体系主要包括公共基础课程和专业（技能）课程。</w:t>
      </w:r>
    </w:p>
    <w:p>
      <w:pPr>
        <w:pStyle w:val="7"/>
        <w:adjustRightInd w:val="0"/>
        <w:snapToGrid w:val="0"/>
        <w:spacing w:before="0" w:beforeAutospacing="0" w:after="0" w:afterAutospacing="0"/>
        <w:ind w:firstLine="482"/>
        <w:outlineLvl w:val="2"/>
        <w:rPr>
          <w:rFonts w:hint="eastAsia" w:ascii="楷体" w:hAnsi="楷体" w:eastAsia="楷体"/>
          <w:b/>
          <w:sz w:val="28"/>
          <w:szCs w:val="28"/>
          <w:u w:val="none"/>
        </w:rPr>
      </w:pPr>
      <w:bookmarkStart w:id="83" w:name="_Toc24492"/>
      <w:r>
        <w:rPr>
          <w:rFonts w:hint="eastAsia" w:ascii="楷体" w:hAnsi="楷体" w:eastAsia="楷体"/>
          <w:b/>
          <w:szCs w:val="24"/>
          <w:u w:val="none"/>
        </w:rPr>
        <w:t>1.公共基础</w:t>
      </w:r>
      <w:r>
        <w:rPr>
          <w:rFonts w:ascii="楷体" w:hAnsi="楷体" w:eastAsia="楷体"/>
          <w:b/>
          <w:szCs w:val="24"/>
          <w:u w:val="none"/>
        </w:rPr>
        <w:t>课程</w:t>
      </w:r>
      <w:bookmarkEnd w:id="78"/>
      <w:bookmarkEnd w:id="79"/>
      <w:bookmarkEnd w:id="80"/>
      <w:bookmarkEnd w:id="81"/>
      <w:bookmarkEnd w:id="82"/>
      <w:bookmarkEnd w:id="83"/>
    </w:p>
    <w:p>
      <w:pPr>
        <w:adjustRightInd w:val="0"/>
        <w:snapToGrid w:val="0"/>
        <w:ind w:firstLine="480"/>
        <w:rPr>
          <w:rFonts w:hint="eastAsia" w:ascii="宋体" w:hAnsi="宋体"/>
          <w:szCs w:val="24"/>
          <w:u w:val="none"/>
        </w:rPr>
      </w:pPr>
      <w:r>
        <w:rPr>
          <w:rFonts w:hint="eastAsia" w:ascii="宋体" w:hAnsi="宋体"/>
          <w:szCs w:val="24"/>
          <w:u w:val="none"/>
        </w:rPr>
        <w:t>（1）思想道德与法治</w:t>
      </w:r>
    </w:p>
    <w:p>
      <w:pPr>
        <w:adjustRightInd w:val="0"/>
        <w:snapToGrid w:val="0"/>
        <w:ind w:firstLine="480"/>
        <w:rPr>
          <w:rFonts w:hint="eastAsia" w:ascii="宋体" w:hAnsi="宋体"/>
          <w:szCs w:val="24"/>
          <w:u w:val="none"/>
        </w:rPr>
      </w:pPr>
      <w:r>
        <w:rPr>
          <w:rFonts w:hint="eastAsia" w:ascii="宋体" w:hAnsi="宋体"/>
          <w:szCs w:val="24"/>
          <w:u w:val="none"/>
        </w:rPr>
        <w:t>本课程是一门公共基础课程，是高等职业学校专科课程设置中“思想政治理论课”必修课程之一。该课程的核心内容是“三观”教育。思想观方面主要阐述：创造有意义的人生、坚定崇高的理想信念、弘扬民族精神和时代精神、践行社会主义核心价值观。道德观方面主要阐述：传承中华传统美德，发扬中国革命道德，借鉴人类文明优秀道德；遵守社会公德、职业道德、家庭道德，养成高尚的个人品德。法治观方面主要阐述：建设中国特色社会主义法治体系，走中国特色社会主义法治道路，培养法治思维，依法行使权利并履行义务。同时，基于学院的办学特色，适当安排一些关于审计核心价值、会计伦理等职业道德教育的相关内容。该课程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结合高等职业学校的自身特点，注重加强对学生的职业道德教育。</w:t>
      </w:r>
    </w:p>
    <w:p>
      <w:pPr>
        <w:ind w:firstLine="480"/>
        <w:rPr>
          <w:rFonts w:hint="eastAsia" w:ascii="宋体" w:hAnsi="宋体"/>
          <w:szCs w:val="24"/>
        </w:rPr>
      </w:pPr>
      <w:bookmarkStart w:id="84" w:name="_Toc20637_WPSOffice_Level3"/>
      <w:bookmarkStart w:id="85" w:name="_Toc7988"/>
      <w:bookmarkStart w:id="86" w:name="_Toc11359"/>
      <w:bookmarkStart w:id="87" w:name="_Toc9272_WPSOffice_Level3"/>
      <w:bookmarkStart w:id="88" w:name="_Toc7855_WPSOffice_Level3"/>
      <w:bookmarkStart w:id="89" w:name="_Toc10199"/>
      <w:r>
        <w:rPr>
          <w:rFonts w:hint="eastAsia" w:ascii="宋体" w:hAnsi="宋体"/>
          <w:szCs w:val="24"/>
        </w:rPr>
        <w:t>(</w:t>
      </w:r>
      <w:r>
        <w:rPr>
          <w:rFonts w:hint="eastAsia" w:ascii="宋体" w:hAnsi="宋体"/>
          <w:szCs w:val="24"/>
          <w:lang w:val="en-US" w:eastAsia="zh-CN"/>
        </w:rPr>
        <w:t>2</w:t>
      </w:r>
      <w:r>
        <w:rPr>
          <w:rFonts w:hint="eastAsia" w:ascii="宋体" w:hAnsi="宋体"/>
          <w:szCs w:val="24"/>
        </w:rPr>
        <w:t>)毛泽东思想和中国特色社会主义理论体系概论</w:t>
      </w:r>
    </w:p>
    <w:p>
      <w:pPr>
        <w:ind w:firstLine="480"/>
        <w:rPr>
          <w:rFonts w:hint="eastAsia" w:ascii="宋体" w:hAnsi="宋体"/>
          <w:szCs w:val="24"/>
        </w:rPr>
      </w:pPr>
      <w:r>
        <w:rPr>
          <w:rFonts w:hint="eastAsia" w:ascii="宋体" w:hAnsi="宋体"/>
          <w:szCs w:val="24"/>
        </w:rPr>
        <w:t>本课程是一门公共基础课程，是高等职业学校专科课程设置中“思想政治理论课”必修课程之一。该课程的核心内容是</w:t>
      </w:r>
      <w:r>
        <w:rPr>
          <w:rFonts w:hint="eastAsia" w:ascii="宋体" w:hAnsi="宋体"/>
          <w:szCs w:val="24"/>
          <w:lang w:val="en-US" w:eastAsia="zh-CN"/>
        </w:rPr>
        <w:t>两</w:t>
      </w:r>
      <w:r>
        <w:rPr>
          <w:rFonts w:hint="eastAsia" w:ascii="宋体" w:hAnsi="宋体"/>
          <w:szCs w:val="24"/>
        </w:rPr>
        <w:t>大部分：第一部分主要阐述毛泽东思想，涉及毛泽东思想的总体概述、新民主主义革命理论、社会主义改造理论、中国社会主义建设道路初步探索的理论成果；第二部分主要阐述邓小平理论、“三个代表”重要思想、科学发展观各自形成的社会历史条件、形成发展过程、主要内容和历史地位。该课程主要讲授中国共产党把马克思主义基本原理同中国具体实际相结合产生的马克思主义中国化的两大理论成果，帮助学生理解毛泽东思想、邓小平理论、“三个代表”重要思想、科学发展观是一脉相承又与时俱进的科学体系，引导学生深刻理解中国共产党为什么能、马克思主义为什么行、中国特色社会主义为什么好，坚定“四个自信”。</w:t>
      </w:r>
    </w:p>
    <w:p>
      <w:pPr>
        <w:ind w:firstLine="480"/>
        <w:rPr>
          <w:rFonts w:hint="eastAsia" w:ascii="宋体" w:hAnsi="宋体"/>
          <w:szCs w:val="24"/>
          <w:lang w:val="en-US" w:eastAsia="zh-CN"/>
        </w:rPr>
      </w:pPr>
      <w:r>
        <w:rPr>
          <w:rFonts w:hint="eastAsia" w:ascii="宋体" w:hAnsi="宋体"/>
          <w:szCs w:val="24"/>
        </w:rPr>
        <w:t>(</w:t>
      </w:r>
      <w:r>
        <w:rPr>
          <w:rFonts w:hint="eastAsia" w:ascii="宋体" w:hAnsi="宋体"/>
          <w:szCs w:val="24"/>
          <w:lang w:val="en-US" w:eastAsia="zh-CN"/>
        </w:rPr>
        <w:t>3</w:t>
      </w:r>
      <w:r>
        <w:rPr>
          <w:rFonts w:hint="eastAsia" w:ascii="宋体" w:hAnsi="宋体"/>
          <w:szCs w:val="24"/>
        </w:rPr>
        <w:t>)</w:t>
      </w:r>
      <w:r>
        <w:rPr>
          <w:rFonts w:hint="eastAsia" w:ascii="宋体" w:hAnsi="宋体"/>
          <w:szCs w:val="24"/>
          <w:lang w:eastAsia="zh-CN"/>
        </w:rPr>
        <w:t>习近平新时代中国特色社会主义思想概论</w:t>
      </w:r>
    </w:p>
    <w:p>
      <w:pPr>
        <w:ind w:firstLine="480"/>
        <w:rPr>
          <w:rFonts w:hint="eastAsia" w:ascii="宋体" w:hAnsi="宋体"/>
          <w:szCs w:val="24"/>
          <w:lang w:eastAsia="zh-CN"/>
        </w:rPr>
      </w:pPr>
      <w:r>
        <w:rPr>
          <w:rFonts w:hint="eastAsia" w:ascii="宋体" w:hAnsi="宋体"/>
          <w:szCs w:val="24"/>
          <w:lang w:eastAsia="zh-CN"/>
        </w:rPr>
        <w:t>本课程是一门公共基础课程，是高等学校“思想政治理论课”必修课程之一。习近平新时代中国特色社会主义思想是当代中国马克思主义、二十一世纪马克思主义，是中华文化和中国精神的时代精华，实现了马克思主义中国化新的飞跃。</w:t>
      </w:r>
      <w:r>
        <w:rPr>
          <w:rFonts w:hint="eastAsia" w:ascii="宋体" w:hAnsi="宋体"/>
          <w:szCs w:val="24"/>
          <w:lang w:val="en-US" w:eastAsia="zh-CN"/>
        </w:rPr>
        <w:t>该</w:t>
      </w:r>
      <w:r>
        <w:rPr>
          <w:rFonts w:hint="eastAsia" w:ascii="宋体" w:hAnsi="宋体"/>
          <w:szCs w:val="24"/>
          <w:lang w:eastAsia="zh-CN"/>
        </w:rPr>
        <w:t>课程主要讲授习近平新时代中国特色社会主义思想的基本精神、基本内容、基本要求，帮助学生进一步掌握中国特色社会主义理论体系，深化对习近平新时代中国特色社会主义思想的认识，坚定对马克思主义的信仰、对中国特色社会主义的信念、对实现中华民族伟大复兴中国梦的信心。</w:t>
      </w:r>
    </w:p>
    <w:p>
      <w:pPr>
        <w:ind w:firstLine="480"/>
        <w:rPr>
          <w:rFonts w:hint="eastAsia" w:ascii="宋体" w:hAnsi="宋体"/>
          <w:szCs w:val="24"/>
        </w:rPr>
      </w:pPr>
      <w:r>
        <w:rPr>
          <w:rFonts w:hint="eastAsia" w:ascii="宋体" w:hAnsi="宋体"/>
          <w:szCs w:val="24"/>
          <w:lang w:eastAsia="zh-CN"/>
        </w:rPr>
        <w:t>该课程的主要内容</w:t>
      </w:r>
      <w:r>
        <w:rPr>
          <w:rFonts w:hint="eastAsia" w:ascii="宋体" w:hAnsi="宋体"/>
          <w:szCs w:val="24"/>
          <w:lang w:val="en-US" w:eastAsia="zh-CN"/>
        </w:rPr>
        <w:t>有</w:t>
      </w:r>
      <w:r>
        <w:rPr>
          <w:rFonts w:hint="eastAsia" w:ascii="宋体" w:hAnsi="宋体"/>
          <w:szCs w:val="24"/>
          <w:lang w:eastAsia="zh-CN"/>
        </w:rPr>
        <w:t xml:space="preserve">十五个方面，分别是：新时代、新思想、新飞跃；坚持党的全面领导、坚持以人民为中心、全面建设社会主义现代化国家、全面深化改革、习近平经济思想、新时代中国特色社会主义政治思想、习近平法治思想、新时代中国特色社会主义文化思想、新时代中国特色社会主义社会建设思想、习近平生态文明思想、 新时代坚持和发展中国特色社会主义的重要保障、推动构建人类命运共同体、全面从严治党与自我革命、做担当时代大任的青年。 </w:t>
      </w:r>
    </w:p>
    <w:p>
      <w:pPr>
        <w:ind w:firstLine="480"/>
        <w:rPr>
          <w:rFonts w:hint="eastAsia" w:ascii="宋体" w:hAnsi="宋体"/>
          <w:szCs w:val="24"/>
        </w:rPr>
      </w:pPr>
      <w:r>
        <w:rPr>
          <w:rFonts w:hint="eastAsia" w:ascii="宋体" w:hAnsi="宋体"/>
          <w:szCs w:val="24"/>
        </w:rPr>
        <w:t>(</w:t>
      </w:r>
      <w:r>
        <w:rPr>
          <w:rFonts w:hint="eastAsia" w:ascii="宋体" w:hAnsi="宋体"/>
          <w:szCs w:val="24"/>
          <w:lang w:val="en-US" w:eastAsia="zh-CN"/>
        </w:rPr>
        <w:t>4</w:t>
      </w:r>
      <w:r>
        <w:rPr>
          <w:rFonts w:hint="eastAsia" w:ascii="宋体" w:hAnsi="宋体"/>
          <w:szCs w:val="24"/>
        </w:rPr>
        <w:t>)形势与政策</w:t>
      </w:r>
    </w:p>
    <w:p>
      <w:pPr>
        <w:ind w:firstLine="480"/>
        <w:rPr>
          <w:rFonts w:hint="eastAsia" w:ascii="宋体" w:hAnsi="宋体"/>
          <w:szCs w:val="24"/>
        </w:rPr>
      </w:pPr>
      <w:r>
        <w:rPr>
          <w:rFonts w:hint="eastAsia" w:ascii="宋体" w:hAnsi="宋体"/>
          <w:szCs w:val="24"/>
        </w:rPr>
        <w:t>本课程是一门公共基础课程，是高等职业学校专科课程设置中“思想政治理论课”必修课程之一。该课程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ind w:firstLine="480"/>
        <w:rPr>
          <w:rFonts w:hint="eastAsia" w:ascii="宋体" w:hAnsi="宋体"/>
          <w:szCs w:val="24"/>
          <w:lang w:eastAsia="zh-CN"/>
        </w:rPr>
      </w:pPr>
      <w:r>
        <w:rPr>
          <w:rFonts w:hint="eastAsia" w:ascii="宋体" w:hAnsi="宋体"/>
          <w:szCs w:val="24"/>
        </w:rPr>
        <w:t>(</w:t>
      </w:r>
      <w:r>
        <w:rPr>
          <w:rFonts w:hint="eastAsia" w:ascii="宋体" w:hAnsi="宋体"/>
          <w:szCs w:val="24"/>
          <w:lang w:val="en-US" w:eastAsia="zh-CN"/>
        </w:rPr>
        <w:t>5</w:t>
      </w:r>
      <w:r>
        <w:rPr>
          <w:rFonts w:hint="eastAsia" w:ascii="宋体" w:hAnsi="宋体"/>
          <w:szCs w:val="24"/>
        </w:rPr>
        <w:t>)</w:t>
      </w:r>
      <w:r>
        <w:rPr>
          <w:rFonts w:hint="eastAsia" w:ascii="宋体" w:hAnsi="宋体"/>
          <w:szCs w:val="24"/>
          <w:lang w:val="en-US" w:eastAsia="zh-CN"/>
        </w:rPr>
        <w:t>中共党史</w:t>
      </w:r>
    </w:p>
    <w:p>
      <w:pPr>
        <w:ind w:firstLine="480"/>
        <w:rPr>
          <w:rFonts w:hint="eastAsia" w:ascii="宋体" w:hAnsi="宋体"/>
          <w:szCs w:val="24"/>
        </w:rPr>
      </w:pPr>
      <w:r>
        <w:rPr>
          <w:rFonts w:hint="eastAsia" w:ascii="宋体" w:hAnsi="宋体"/>
          <w:szCs w:val="24"/>
        </w:rPr>
        <w:t>本课程是一门公共基础课程，是高等职业学校专科课程设置中“思想政治理论课”选择性必修课程之一。该课程主要讲授中国共产党自诞生以来领导中国人民为了实现中国梦的探索史、奋斗史、创业史和发展史。帮助学生正确认识党的历史、新中国的历史，从中汲取新的智慧和力量。该课程引导大学生深刻认识我们党先进的政治属性、崇高的政治理想、高尚的政治追求、纯洁的政治品质，深刻认识中国从站起来、富起来到强起来的艰辛探索和历史必然，深刻认识党的执政使命和根本宗旨，引导大学生增强“四个意识”、坚定“四个自信”、做到“两个维护”。</w:t>
      </w:r>
    </w:p>
    <w:p>
      <w:pPr>
        <w:adjustRightInd w:val="0"/>
        <w:snapToGrid w:val="0"/>
        <w:ind w:firstLine="480"/>
        <w:rPr>
          <w:rFonts w:hint="eastAsia" w:ascii="宋体" w:hAnsi="宋体"/>
          <w:szCs w:val="24"/>
          <w:u w:val="none"/>
        </w:rPr>
      </w:pPr>
      <w:r>
        <w:rPr>
          <w:rFonts w:hint="eastAsia" w:ascii="宋体" w:hAnsi="宋体"/>
          <w:szCs w:val="24"/>
          <w:u w:val="none"/>
        </w:rPr>
        <w:t>(</w:t>
      </w:r>
      <w:r>
        <w:rPr>
          <w:rFonts w:hint="eastAsia" w:ascii="宋体" w:hAnsi="宋体"/>
          <w:szCs w:val="24"/>
          <w:u w:val="none"/>
          <w:lang w:val="en-US" w:eastAsia="zh-CN"/>
        </w:rPr>
        <w:t>6</w:t>
      </w:r>
      <w:r>
        <w:rPr>
          <w:rFonts w:hint="eastAsia" w:ascii="宋体" w:hAnsi="宋体"/>
          <w:szCs w:val="24"/>
          <w:u w:val="none"/>
        </w:rPr>
        <w:t>)</w:t>
      </w:r>
      <w:r>
        <w:rPr>
          <w:rFonts w:hint="eastAsia" w:ascii="宋体" w:hAnsi="宋体"/>
          <w:szCs w:val="24"/>
          <w:u w:val="none"/>
          <w:lang w:eastAsia="zh-Hans"/>
        </w:rPr>
        <w:t>军事理论</w:t>
      </w:r>
    </w:p>
    <w:p>
      <w:pPr>
        <w:adjustRightInd w:val="0"/>
        <w:snapToGrid w:val="0"/>
        <w:ind w:firstLine="480"/>
        <w:rPr>
          <w:rFonts w:hint="eastAsia" w:ascii="宋体" w:hAnsi="宋体" w:eastAsia="宋体" w:cs="Times New Roman"/>
          <w:szCs w:val="24"/>
          <w:u w:val="none"/>
          <w:lang w:eastAsia="zh-Hans"/>
        </w:rPr>
      </w:pPr>
      <w:r>
        <w:rPr>
          <w:rFonts w:hint="eastAsia" w:ascii="宋体" w:hAnsi="宋体"/>
          <w:szCs w:val="24"/>
          <w:u w:val="none"/>
        </w:rPr>
        <w:t>本课程是一门公共基础课程，也是我院各专业开设的一门网络通识课程。该课程以国防教育为主线，以军事理论教学为重点，通过军事理论教学，让学生掌握基本军事理论与军事技能，增强国防观念和国家安全意识，强化爱国主义、集体主义观念，加强组织纪律性，促进综合素质的提高，为中国人民解放军训练储备合格后备兵员和培养预备役军官打下坚实基础。</w:t>
      </w:r>
      <w:r>
        <w:rPr>
          <w:rFonts w:hint="eastAsia" w:ascii="宋体" w:hAnsi="宋体" w:eastAsia="宋体" w:cs="Times New Roman"/>
          <w:szCs w:val="24"/>
          <w:u w:val="none"/>
          <w:lang w:eastAsia="zh-Hans"/>
        </w:rPr>
        <w:t>该课程从“思想路径”入手抓核心抓关键，积极着眼于“实践路径”以促进当代大学生对思想政治教育和军事理论课程主动的认可。通过对该课程的学习，</w:t>
      </w:r>
      <w:r>
        <w:rPr>
          <w:rFonts w:hint="eastAsia" w:ascii="宋体" w:hAnsi="宋体" w:eastAsia="宋体" w:cs="Times New Roman"/>
          <w:szCs w:val="24"/>
          <w:u w:val="none"/>
        </w:rPr>
        <w:t>提升</w:t>
      </w:r>
      <w:r>
        <w:rPr>
          <w:rFonts w:hint="eastAsia" w:ascii="宋体" w:hAnsi="宋体" w:eastAsia="宋体" w:cs="Times New Roman"/>
          <w:szCs w:val="24"/>
          <w:u w:val="none"/>
          <w:lang w:eastAsia="zh-Hans"/>
        </w:rPr>
        <w:t>大学生人格素养，</w:t>
      </w:r>
      <w:r>
        <w:rPr>
          <w:rFonts w:hint="eastAsia" w:ascii="宋体" w:hAnsi="宋体" w:eastAsia="宋体" w:cs="Times New Roman"/>
          <w:szCs w:val="24"/>
          <w:u w:val="none"/>
        </w:rPr>
        <w:t>完备</w:t>
      </w:r>
      <w:r>
        <w:rPr>
          <w:rFonts w:hint="eastAsia" w:ascii="宋体" w:hAnsi="宋体" w:eastAsia="宋体" w:cs="Times New Roman"/>
          <w:szCs w:val="24"/>
          <w:u w:val="none"/>
          <w:lang w:eastAsia="zh-Hans"/>
        </w:rPr>
        <w:t>知识体系，</w:t>
      </w:r>
      <w:r>
        <w:rPr>
          <w:rFonts w:hint="eastAsia" w:ascii="宋体" w:hAnsi="宋体" w:eastAsia="宋体" w:cs="Times New Roman"/>
          <w:szCs w:val="24"/>
          <w:u w:val="none"/>
        </w:rPr>
        <w:t>强化</w:t>
      </w:r>
      <w:r>
        <w:rPr>
          <w:rFonts w:hint="eastAsia" w:ascii="宋体" w:hAnsi="宋体" w:eastAsia="宋体" w:cs="Times New Roman"/>
          <w:szCs w:val="24"/>
          <w:u w:val="none"/>
          <w:lang w:eastAsia="zh-Hans"/>
        </w:rPr>
        <w:t>国防意识，</w:t>
      </w:r>
      <w:r>
        <w:rPr>
          <w:rFonts w:hint="eastAsia" w:ascii="宋体" w:hAnsi="宋体" w:eastAsia="宋体" w:cs="Times New Roman"/>
          <w:szCs w:val="24"/>
          <w:u w:val="none"/>
        </w:rPr>
        <w:t>养成</w:t>
      </w:r>
      <w:r>
        <w:rPr>
          <w:rFonts w:hint="eastAsia" w:ascii="宋体" w:hAnsi="宋体" w:eastAsia="宋体" w:cs="Times New Roman"/>
          <w:szCs w:val="24"/>
          <w:u w:val="none"/>
          <w:lang w:eastAsia="zh-Hans"/>
        </w:rPr>
        <w:t>国家责任感和民族自豪感。</w:t>
      </w:r>
    </w:p>
    <w:p>
      <w:pPr>
        <w:pStyle w:val="16"/>
        <w:widowControl/>
        <w:shd w:val="clear" w:color="auto" w:fill="FFFFFF"/>
        <w:adjustRightInd w:val="0"/>
        <w:snapToGrid w:val="0"/>
        <w:ind w:firstLine="480"/>
        <w:rPr>
          <w:rFonts w:hint="default"/>
          <w:kern w:val="2"/>
          <w:szCs w:val="24"/>
          <w:u w:val="none"/>
          <w:lang w:eastAsia="zh-Hans"/>
        </w:rPr>
      </w:pPr>
      <w:r>
        <w:rPr>
          <w:kern w:val="2"/>
          <w:szCs w:val="24"/>
          <w:u w:val="none"/>
        </w:rPr>
        <w:t>(</w:t>
      </w:r>
      <w:r>
        <w:rPr>
          <w:rFonts w:hint="eastAsia"/>
          <w:kern w:val="2"/>
          <w:szCs w:val="24"/>
          <w:u w:val="none"/>
          <w:lang w:val="en-US" w:eastAsia="zh-CN"/>
        </w:rPr>
        <w:t>7</w:t>
      </w:r>
      <w:r>
        <w:rPr>
          <w:kern w:val="2"/>
          <w:szCs w:val="24"/>
          <w:u w:val="none"/>
        </w:rPr>
        <w:t>)</w:t>
      </w:r>
      <w:r>
        <w:rPr>
          <w:kern w:val="2"/>
          <w:szCs w:val="24"/>
          <w:u w:val="none"/>
          <w:lang w:eastAsia="zh-Hans"/>
        </w:rPr>
        <w:t>心理健康教育</w:t>
      </w:r>
    </w:p>
    <w:p>
      <w:pPr>
        <w:adjustRightInd w:val="0"/>
        <w:snapToGrid w:val="0"/>
        <w:ind w:firstLine="480"/>
        <w:rPr>
          <w:rFonts w:hint="eastAsia" w:ascii="宋体" w:hAnsi="宋体" w:eastAsia="宋体" w:cs="Times New Roman"/>
          <w:szCs w:val="24"/>
          <w:u w:val="none"/>
        </w:rPr>
      </w:pPr>
      <w:r>
        <w:rPr>
          <w:rFonts w:hint="eastAsia" w:ascii="宋体" w:hAnsi="宋体"/>
          <w:szCs w:val="24"/>
          <w:u w:val="none"/>
        </w:rPr>
        <w:t>本课程是一门公共基础课程、健康教育课程，也是学生综合素质培养的</w:t>
      </w:r>
      <w:r>
        <w:rPr>
          <w:rFonts w:hint="eastAsia" w:ascii="宋体" w:hAnsi="宋体"/>
          <w:szCs w:val="24"/>
          <w:u w:val="none"/>
          <w:lang w:eastAsia="zh-CN"/>
        </w:rPr>
        <w:t>主要</w:t>
      </w:r>
      <w:r>
        <w:rPr>
          <w:rFonts w:hint="eastAsia" w:ascii="宋体" w:hAnsi="宋体"/>
          <w:szCs w:val="24"/>
          <w:u w:val="none"/>
        </w:rPr>
        <w:t>课程。该课程主要阐述大学生心理健康的基本理论和知识，自我心理保健的基本方法和技能，具体包括：心理健康导论、人格发展、异常心理等基本理论；生涯规划、学习心理、人际交往、性心理及恋爱心理、生命教育等基本知识；自我意识培养、心理困惑疏解、情绪管理、压力管理与挫折应对、心理危机应对等基本方法和技能。</w:t>
      </w:r>
      <w:r>
        <w:rPr>
          <w:rFonts w:hint="eastAsia" w:ascii="宋体" w:hAnsi="宋体" w:eastAsia="宋体" w:cs="Times New Roman"/>
          <w:szCs w:val="24"/>
          <w:u w:val="none"/>
        </w:rPr>
        <w:t>该课程是提高大学生心理素质，促进学生全面发展的公共基础课程。该课程培养学生自尊自信、理性平和、积极向上的社会心态，提升学生社会适应能力、团队合作能力等职业素养。</w:t>
      </w:r>
    </w:p>
    <w:p>
      <w:pPr>
        <w:pStyle w:val="16"/>
        <w:widowControl/>
        <w:shd w:val="clear" w:color="auto" w:fill="FFFFFF"/>
        <w:adjustRightInd w:val="0"/>
        <w:snapToGrid w:val="0"/>
        <w:ind w:firstLine="480"/>
        <w:rPr>
          <w:rFonts w:hint="default"/>
          <w:kern w:val="2"/>
          <w:szCs w:val="24"/>
          <w:u w:val="none"/>
        </w:rPr>
      </w:pPr>
      <w:r>
        <w:rPr>
          <w:kern w:val="2"/>
          <w:szCs w:val="24"/>
          <w:u w:val="none"/>
        </w:rPr>
        <w:t>(</w:t>
      </w:r>
      <w:r>
        <w:rPr>
          <w:rFonts w:hint="eastAsia"/>
          <w:kern w:val="2"/>
          <w:szCs w:val="24"/>
          <w:u w:val="none"/>
          <w:lang w:val="en-US" w:eastAsia="zh-CN"/>
        </w:rPr>
        <w:t>8</w:t>
      </w:r>
      <w:r>
        <w:rPr>
          <w:kern w:val="2"/>
          <w:szCs w:val="24"/>
          <w:u w:val="none"/>
        </w:rPr>
        <w:t>)</w:t>
      </w:r>
      <w:r>
        <w:rPr>
          <w:kern w:val="2"/>
          <w:szCs w:val="24"/>
          <w:u w:val="none"/>
          <w:lang w:eastAsia="zh-Hans"/>
        </w:rPr>
        <w:t>职业发展与就业指导</w:t>
      </w:r>
    </w:p>
    <w:p>
      <w:pPr>
        <w:pStyle w:val="16"/>
        <w:widowControl/>
        <w:shd w:val="clear" w:color="auto" w:fill="FFFFFF"/>
        <w:adjustRightInd w:val="0"/>
        <w:snapToGrid w:val="0"/>
        <w:ind w:firstLine="480"/>
        <w:rPr>
          <w:rFonts w:hint="default" w:ascii="宋体" w:hAnsi="宋体" w:eastAsia="宋体" w:cs="Times New Roman"/>
          <w:kern w:val="2"/>
          <w:sz w:val="24"/>
          <w:szCs w:val="24"/>
          <w:u w:val="none"/>
          <w:lang w:val="en-US" w:eastAsia="zh-Hans" w:bidi="ar-SA"/>
        </w:rPr>
      </w:pPr>
      <w:r>
        <w:rPr>
          <w:kern w:val="2"/>
          <w:szCs w:val="24"/>
          <w:u w:val="none"/>
        </w:rPr>
        <w:t>本课程是一门公共基础课程。该课程是一门帮助大学生规划未来发展，掌握自我探索、环境探索、生涯决策方法，提高求职技巧，撰写职业化简历，有效应对面试，培养职场素质，提升生涯管理能力的课程。</w:t>
      </w:r>
      <w:r>
        <w:rPr>
          <w:rFonts w:hint="eastAsia" w:ascii="宋体" w:hAnsi="宋体" w:eastAsia="宋体" w:cs="Times New Roman"/>
          <w:kern w:val="2"/>
          <w:sz w:val="24"/>
          <w:szCs w:val="24"/>
          <w:u w:val="none"/>
          <w:lang w:val="en-US" w:eastAsia="zh-Hans" w:bidi="ar-SA"/>
        </w:rPr>
        <w:t>通过对该课程的学习</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CN" w:bidi="ar-SA"/>
        </w:rPr>
        <w:t>让</w:t>
      </w:r>
      <w:r>
        <w:rPr>
          <w:rFonts w:hint="eastAsia" w:ascii="宋体" w:hAnsi="宋体" w:eastAsia="宋体" w:cs="Times New Roman"/>
          <w:kern w:val="2"/>
          <w:sz w:val="24"/>
          <w:szCs w:val="24"/>
          <w:u w:val="none"/>
          <w:lang w:val="en-US" w:eastAsia="zh-Hans" w:bidi="ar-SA"/>
        </w:rPr>
        <w:t>学生增强职业规划意识</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明确学习目标</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增强自主学习的能动性</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潜心关注目标行业的生产现状和科技成果</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把学生的思想政治教育融入到职业素质培养中</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最终实现人职匹配</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个人目标与社会目标协调发展</w:t>
      </w:r>
      <w:r>
        <w:rPr>
          <w:rFonts w:hint="default" w:ascii="宋体" w:hAnsi="宋体" w:eastAsia="宋体" w:cs="Times New Roman"/>
          <w:kern w:val="2"/>
          <w:sz w:val="24"/>
          <w:szCs w:val="24"/>
          <w:u w:val="none"/>
          <w:lang w:val="en-US" w:eastAsia="zh-Hans" w:bidi="ar-SA"/>
        </w:rPr>
        <w:t>。</w:t>
      </w:r>
    </w:p>
    <w:p>
      <w:pPr>
        <w:adjustRightInd w:val="0"/>
        <w:snapToGrid w:val="0"/>
        <w:ind w:firstLine="480"/>
        <w:rPr>
          <w:rFonts w:hint="eastAsia" w:ascii="宋体" w:hAnsi="宋体"/>
          <w:szCs w:val="24"/>
          <w:u w:val="none"/>
          <w:lang w:eastAsia="zh-Hans"/>
        </w:rPr>
      </w:pPr>
      <w:r>
        <w:rPr>
          <w:rFonts w:hint="eastAsia" w:ascii="宋体" w:hAnsi="宋体"/>
          <w:szCs w:val="24"/>
          <w:u w:val="none"/>
        </w:rPr>
        <w:t>(</w:t>
      </w:r>
      <w:r>
        <w:rPr>
          <w:rFonts w:hint="eastAsia" w:ascii="宋体" w:hAnsi="宋体"/>
          <w:szCs w:val="24"/>
          <w:u w:val="none"/>
          <w:lang w:val="en-US" w:eastAsia="zh-CN"/>
        </w:rPr>
        <w:t>9</w:t>
      </w:r>
      <w:r>
        <w:rPr>
          <w:rFonts w:hint="eastAsia" w:ascii="宋体" w:hAnsi="宋体"/>
          <w:szCs w:val="24"/>
          <w:u w:val="none"/>
        </w:rPr>
        <w:t>)</w:t>
      </w:r>
      <w:r>
        <w:rPr>
          <w:rFonts w:hint="eastAsia" w:ascii="宋体" w:hAnsi="宋体"/>
          <w:szCs w:val="24"/>
          <w:u w:val="none"/>
          <w:lang w:eastAsia="zh-Hans"/>
        </w:rPr>
        <w:t>高等数学</w:t>
      </w:r>
    </w:p>
    <w:p>
      <w:pPr>
        <w:adjustRightInd w:val="0"/>
        <w:snapToGrid w:val="0"/>
        <w:ind w:firstLine="480"/>
        <w:rPr>
          <w:rFonts w:hint="eastAsia" w:ascii="宋体" w:hAnsi="宋体"/>
          <w:szCs w:val="24"/>
          <w:u w:val="none"/>
        </w:rPr>
      </w:pPr>
      <w:r>
        <w:rPr>
          <w:rFonts w:hint="eastAsia" w:ascii="宋体" w:hAnsi="宋体"/>
          <w:szCs w:val="24"/>
          <w:u w:val="none"/>
        </w:rPr>
        <w:t>本门课程是一门公共基础课。该课程内容以三年制高等职业教育的培养目标为依据，注意与中学数学课程的衔接，按照“考虑学生基础，注重实际运用，强化能力培养”的原则，确定教学内容。教学内容按模块式设置，包括：微积分、线性代数、概率与数理统计。通过该课程的学习，要为学生今后学习专业课程和工作需要打下必要的数学基础。通过相关知识的学习，使学生初步认识极限的思想和方法，初步掌握微积分的基础知识，建立变量的思想，形成辩证唯物主义观点，并掌握运用变量数学方法解决简单实际问题的能力。</w:t>
      </w:r>
      <w:r>
        <w:rPr>
          <w:rFonts w:hint="eastAsia" w:ascii="宋体" w:hAnsi="宋体" w:eastAsia="宋体" w:cs="Times New Roman"/>
          <w:szCs w:val="24"/>
          <w:u w:val="none"/>
        </w:rPr>
        <w:t>教学过程中不仅培养学生较强的抽象思维,逻辑思维和创新思维能力，而且养成认真严谨的作风，具有拼搏和奉献的精神。</w:t>
      </w:r>
    </w:p>
    <w:p>
      <w:pPr>
        <w:adjustRightInd w:val="0"/>
        <w:snapToGrid w:val="0"/>
        <w:ind w:firstLine="480"/>
        <w:rPr>
          <w:rFonts w:hint="eastAsia" w:ascii="宋体" w:hAnsi="宋体"/>
          <w:szCs w:val="24"/>
          <w:u w:val="none"/>
          <w:lang w:eastAsia="zh-Hans"/>
        </w:rPr>
      </w:pPr>
      <w:r>
        <w:rPr>
          <w:rFonts w:hint="eastAsia" w:ascii="宋体" w:hAnsi="宋体"/>
          <w:szCs w:val="24"/>
          <w:u w:val="none"/>
        </w:rPr>
        <w:t>(</w:t>
      </w:r>
      <w:r>
        <w:rPr>
          <w:rFonts w:hint="eastAsia" w:ascii="宋体" w:hAnsi="宋体"/>
          <w:szCs w:val="24"/>
          <w:u w:val="none"/>
          <w:lang w:val="en-US" w:eastAsia="zh-CN"/>
        </w:rPr>
        <w:t>10</w:t>
      </w:r>
      <w:r>
        <w:rPr>
          <w:rFonts w:hint="eastAsia" w:ascii="宋体" w:hAnsi="宋体"/>
          <w:szCs w:val="24"/>
          <w:u w:val="none"/>
        </w:rPr>
        <w:t>)</w:t>
      </w:r>
      <w:r>
        <w:rPr>
          <w:rFonts w:hint="eastAsia" w:ascii="宋体" w:hAnsi="宋体"/>
          <w:szCs w:val="24"/>
          <w:u w:val="none"/>
          <w:lang w:eastAsia="zh-Hans"/>
        </w:rPr>
        <w:t>英语</w:t>
      </w:r>
    </w:p>
    <w:p>
      <w:pPr>
        <w:widowControl/>
        <w:adjustRightInd w:val="0"/>
        <w:snapToGrid w:val="0"/>
        <w:ind w:firstLine="480"/>
        <w:jc w:val="left"/>
        <w:rPr>
          <w:rFonts w:hint="eastAsia" w:ascii="宋体" w:hAnsi="宋体"/>
          <w:szCs w:val="24"/>
          <w:u w:val="none"/>
        </w:rPr>
      </w:pPr>
      <w:r>
        <w:rPr>
          <w:rFonts w:hint="eastAsia" w:ascii="宋体" w:hAnsi="宋体"/>
          <w:szCs w:val="24"/>
          <w:u w:val="none"/>
        </w:rPr>
        <w:t>本课程是一门公共基础课程，该课程兼具工具性与人文性。本课程以中等职业学校和普通高中的英语课程为基础，与本科教育阶段的英语课程相衔接，旨在培养学生学习英语和应用英语的能力，具备必要的英语听、说、读、看、写、译技能，进一步促进学生英语学科核心素养的发展，主要包括职场涉外沟通、多元文化交流、语言思维提升和自主学习完善四个方面。通过本课程学习，学生应该能够达到课程标准所设定的四项学科核心素养的发展目标,能够在日常生活和职场中用英语进行有效沟通,为学生未来继续学习和终身发展奠定良好的英语基础。</w:t>
      </w:r>
      <w:r>
        <w:rPr>
          <w:rFonts w:hint="eastAsia" w:ascii="宋体" w:hAnsi="宋体" w:eastAsia="宋体" w:cs="Times New Roman"/>
          <w:szCs w:val="24"/>
          <w:u w:val="none"/>
        </w:rPr>
        <w:t>通过本课程学习，能够拓展学生的思维能力，提升学生的独立自主以及合作学习的能力，提升文化修养，培养职业精神与职业技能，形成正确的价值观，成为有文明素养和社会责任感的高素质技术技能人才。</w:t>
      </w:r>
      <w:r>
        <w:rPr>
          <w:rFonts w:hint="eastAsia" w:ascii="宋体" w:hAnsi="宋体"/>
          <w:szCs w:val="24"/>
          <w:u w:val="none"/>
        </w:rPr>
        <w:t xml:space="preserve"> </w:t>
      </w:r>
    </w:p>
    <w:p>
      <w:pPr>
        <w:adjustRightInd w:val="0"/>
        <w:snapToGrid w:val="0"/>
        <w:ind w:firstLine="480"/>
        <w:rPr>
          <w:rFonts w:hint="eastAsia" w:ascii="宋体" w:hAnsi="宋体"/>
          <w:szCs w:val="24"/>
          <w:u w:val="none"/>
        </w:rPr>
      </w:pPr>
      <w:r>
        <w:rPr>
          <w:rFonts w:hint="eastAsia" w:ascii="宋体" w:hAnsi="宋体"/>
          <w:szCs w:val="24"/>
          <w:u w:val="none"/>
        </w:rPr>
        <w:t>(</w:t>
      </w:r>
      <w:r>
        <w:rPr>
          <w:rFonts w:hint="eastAsia" w:ascii="宋体" w:hAnsi="宋体"/>
          <w:szCs w:val="24"/>
          <w:u w:val="none"/>
          <w:lang w:val="en-US" w:eastAsia="zh-CN"/>
        </w:rPr>
        <w:t>11</w:t>
      </w:r>
      <w:r>
        <w:rPr>
          <w:rFonts w:hint="eastAsia" w:ascii="宋体" w:hAnsi="宋体"/>
          <w:szCs w:val="24"/>
          <w:u w:val="none"/>
        </w:rPr>
        <w:t>)信息技术基础</w:t>
      </w:r>
    </w:p>
    <w:p>
      <w:pPr>
        <w:adjustRightInd w:val="0"/>
        <w:snapToGrid w:val="0"/>
        <w:ind w:firstLine="480"/>
        <w:rPr>
          <w:rFonts w:hint="eastAsia" w:ascii="宋体" w:hAnsi="宋体" w:eastAsia="宋体" w:cs="Times New Roman"/>
          <w:szCs w:val="24"/>
          <w:u w:val="none"/>
        </w:rPr>
      </w:pPr>
      <w:r>
        <w:rPr>
          <w:rFonts w:hint="eastAsia" w:ascii="宋体" w:hAnsi="宋体"/>
          <w:szCs w:val="24"/>
          <w:u w:val="none"/>
        </w:rPr>
        <w:t>本课程是一门公共基础课程。该课程内容包含文档处理、电子表格处理、演示文稿制作、信息检索、新一代信息技术概述、信息素养与社会责任等内容。</w:t>
      </w:r>
      <w:r>
        <w:rPr>
          <w:rFonts w:hint="eastAsia" w:ascii="宋体" w:hAnsi="宋体" w:eastAsia="宋体" w:cs="Times New Roman"/>
          <w:szCs w:val="24"/>
          <w:u w:val="none"/>
        </w:rPr>
        <w:t>学生通过理论知识学习、技能训练和综合应用实践，能够增强信息意识、提升计算思维、促进数字化创新与发展能力、树立正确的信息社会价值观和责任感，为其职业发展、终身学习和服务社会奠定基础。</w:t>
      </w:r>
    </w:p>
    <w:p>
      <w:pPr>
        <w:adjustRightInd w:val="0"/>
        <w:snapToGrid w:val="0"/>
        <w:ind w:firstLine="480"/>
        <w:rPr>
          <w:rFonts w:hint="eastAsia" w:ascii="宋体" w:hAnsi="宋体"/>
          <w:szCs w:val="24"/>
          <w:u w:val="none"/>
        </w:rPr>
      </w:pPr>
      <w:r>
        <w:rPr>
          <w:rFonts w:hint="eastAsia" w:ascii="宋体" w:hAnsi="宋体"/>
          <w:szCs w:val="24"/>
          <w:u w:val="none"/>
        </w:rPr>
        <w:t>(1</w:t>
      </w:r>
      <w:r>
        <w:rPr>
          <w:rFonts w:hint="eastAsia" w:ascii="宋体" w:hAnsi="宋体"/>
          <w:szCs w:val="24"/>
          <w:u w:val="none"/>
          <w:lang w:val="en-US" w:eastAsia="zh-CN"/>
        </w:rPr>
        <w:t>2</w:t>
      </w:r>
      <w:r>
        <w:rPr>
          <w:rFonts w:hint="eastAsia" w:ascii="宋体" w:hAnsi="宋体"/>
          <w:szCs w:val="24"/>
          <w:u w:val="none"/>
        </w:rPr>
        <w:t>)体育</w:t>
      </w:r>
    </w:p>
    <w:p>
      <w:pPr>
        <w:adjustRightInd w:val="0"/>
        <w:snapToGrid w:val="0"/>
        <w:ind w:firstLine="480"/>
        <w:rPr>
          <w:rFonts w:hint="eastAsia" w:ascii="宋体" w:hAnsi="宋体" w:eastAsia="宋体" w:cs="Times New Roman"/>
          <w:szCs w:val="24"/>
          <w:u w:val="none"/>
        </w:rPr>
      </w:pPr>
      <w:r>
        <w:rPr>
          <w:rFonts w:hint="eastAsia" w:ascii="宋体" w:hAnsi="宋体"/>
          <w:szCs w:val="24"/>
          <w:u w:val="none"/>
        </w:rPr>
        <w:t>本课程是一门公共基础课程，也是一门以身体练习为主要手段、以增进大学生健康为主要目的的必修课程。该课程分别以理论篇和实践篇阐述体育与健康的基本理论知识、各体育项目基本技术，具体包括：体育的目标、体育对人的身心健康作用、体质和健康标志与体育保健、职业体能、运动损伤、《国家学生体质健康标准》与监控方法等；田径、篮球、排球、足球、乒乓球、网球、武术、跆拳道、健美操、体育舞蹈、瑜伽等。该课程是实施素质教育和培养德智体美全面发展人才不可缺少的重要途径。</w:t>
      </w:r>
      <w:r>
        <w:rPr>
          <w:rFonts w:hint="eastAsia" w:ascii="宋体" w:hAnsi="宋体" w:eastAsia="宋体" w:cs="Times New Roman"/>
          <w:szCs w:val="24"/>
          <w:u w:val="none"/>
        </w:rPr>
        <w:t>通过体育课堂的教育渠道，将运动技能与思想教育有效衔接，</w:t>
      </w:r>
      <w:r>
        <w:rPr>
          <w:rFonts w:hint="eastAsia" w:ascii="宋体" w:hAnsi="宋体" w:eastAsia="宋体" w:cs="Times New Roman"/>
          <w:szCs w:val="24"/>
          <w:highlight w:val="none"/>
          <w:u w:val="none"/>
        </w:rPr>
        <w:t>传输新时代中国特色社会主义，</w:t>
      </w:r>
      <w:r>
        <w:rPr>
          <w:rFonts w:hint="eastAsia" w:ascii="宋体" w:hAnsi="宋体" w:eastAsia="宋体" w:cs="Times New Roman"/>
          <w:szCs w:val="24"/>
          <w:u w:val="none"/>
        </w:rPr>
        <w:t>把握体育人文精神，积极营造良好的校园体育文化，树立“健康第一”的理念，自觉养成锻炼身体的习惯，以达到增进健康、培养兴趣、全面发展的目标。</w:t>
      </w:r>
    </w:p>
    <w:p>
      <w:pPr>
        <w:adjustRightInd w:val="0"/>
        <w:snapToGrid w:val="0"/>
        <w:ind w:firstLine="480"/>
        <w:rPr>
          <w:rFonts w:hint="eastAsia" w:ascii="宋体" w:hAnsi="宋体"/>
          <w:szCs w:val="24"/>
          <w:u w:val="none"/>
        </w:rPr>
      </w:pPr>
      <w:r>
        <w:rPr>
          <w:rFonts w:hint="eastAsia" w:ascii="宋体" w:hAnsi="宋体"/>
          <w:szCs w:val="24"/>
          <w:u w:val="none"/>
        </w:rPr>
        <w:t>(1</w:t>
      </w:r>
      <w:r>
        <w:rPr>
          <w:rFonts w:hint="eastAsia" w:ascii="宋体" w:hAnsi="宋体"/>
          <w:szCs w:val="24"/>
          <w:u w:val="none"/>
          <w:lang w:val="en-US" w:eastAsia="zh-CN"/>
        </w:rPr>
        <w:t>3</w:t>
      </w:r>
      <w:r>
        <w:rPr>
          <w:rFonts w:hint="eastAsia" w:ascii="宋体" w:hAnsi="宋体"/>
          <w:szCs w:val="24"/>
          <w:u w:val="none"/>
        </w:rPr>
        <w:t>)大学语文</w:t>
      </w:r>
    </w:p>
    <w:p>
      <w:pPr>
        <w:adjustRightInd w:val="0"/>
        <w:snapToGrid w:val="0"/>
        <w:ind w:firstLine="480"/>
        <w:rPr>
          <w:rFonts w:hint="eastAsia" w:ascii="宋体" w:hAnsi="宋体" w:eastAsia="宋体" w:cs="Times New Roman"/>
          <w:szCs w:val="24"/>
          <w:u w:val="none"/>
        </w:rPr>
      </w:pPr>
      <w:r>
        <w:rPr>
          <w:rFonts w:hint="eastAsia" w:ascii="宋体" w:hAnsi="宋体"/>
          <w:szCs w:val="24"/>
          <w:u w:val="none"/>
        </w:rPr>
        <w:t>本课程是一门公共基础课程，具有审美性、工具性和人文性，具有传播人文精神、开展道德熏陶和加强思想教育的功能。该课程主要学习中外文学史、各时期的文学热点、各种体裁的优秀文学作品等，旨在培养大学生的观察能力、思维能力、审美能力、表达能力、写作能力和创造能力等。</w:t>
      </w:r>
      <w:r>
        <w:rPr>
          <w:rFonts w:hint="eastAsia" w:ascii="宋体" w:hAnsi="宋体" w:eastAsia="宋体" w:cs="Times New Roman"/>
          <w:szCs w:val="24"/>
          <w:u w:val="none"/>
        </w:rPr>
        <w:t>该课程立足于对学生文学兴趣、审美素养和阅读习惯的培养，从而提高大学生的人文素养，塑造大学生的健全人格，培养大学生的问题意识和探究精神，增强大学生的文化自信和责任担当。</w:t>
      </w:r>
    </w:p>
    <w:p>
      <w:pPr>
        <w:adjustRightInd w:val="0"/>
        <w:snapToGrid w:val="0"/>
        <w:ind w:firstLine="480"/>
        <w:rPr>
          <w:rFonts w:hint="eastAsia" w:ascii="宋体" w:hAnsi="宋体"/>
          <w:szCs w:val="24"/>
          <w:u w:val="none"/>
        </w:rPr>
      </w:pPr>
      <w:r>
        <w:rPr>
          <w:rFonts w:hint="eastAsia" w:ascii="宋体" w:hAnsi="宋体"/>
          <w:szCs w:val="24"/>
          <w:u w:val="none"/>
        </w:rPr>
        <w:t>(1</w:t>
      </w:r>
      <w:r>
        <w:rPr>
          <w:rFonts w:hint="eastAsia" w:ascii="宋体" w:hAnsi="宋体"/>
          <w:szCs w:val="24"/>
          <w:u w:val="none"/>
          <w:lang w:val="en-US" w:eastAsia="zh-CN"/>
        </w:rPr>
        <w:t>4</w:t>
      </w:r>
      <w:r>
        <w:rPr>
          <w:rFonts w:hint="eastAsia" w:ascii="宋体" w:hAnsi="宋体"/>
          <w:szCs w:val="24"/>
          <w:u w:val="none"/>
        </w:rPr>
        <w:t>)建筑美学鉴赏</w:t>
      </w:r>
    </w:p>
    <w:p>
      <w:pPr>
        <w:pStyle w:val="16"/>
        <w:widowControl/>
        <w:shd w:val="clear" w:color="auto" w:fill="FFFFFF"/>
        <w:adjustRightInd w:val="0"/>
        <w:snapToGrid w:val="0"/>
        <w:ind w:firstLine="480"/>
        <w:rPr>
          <w:rFonts w:hint="eastAsia" w:ascii="宋体" w:hAnsi="宋体" w:eastAsia="宋体" w:cs="Times New Roman"/>
          <w:kern w:val="2"/>
          <w:sz w:val="24"/>
          <w:szCs w:val="24"/>
          <w:u w:val="none"/>
          <w:lang w:val="en-US" w:eastAsia="zh-CN" w:bidi="ar-SA"/>
        </w:rPr>
      </w:pPr>
      <w:r>
        <w:rPr>
          <w:rFonts w:cs="宋体"/>
          <w:color w:val="000000"/>
          <w:szCs w:val="24"/>
          <w:u w:val="none"/>
          <w:lang w:bidi="ar"/>
        </w:rPr>
        <w:t>本课程是学院建筑类专业的</w:t>
      </w:r>
      <w:r>
        <w:rPr>
          <w:rFonts w:hint="eastAsia" w:cs="宋体"/>
          <w:color w:val="000000"/>
          <w:szCs w:val="24"/>
          <w:u w:val="none"/>
          <w:lang w:val="en-US" w:eastAsia="zh-CN" w:bidi="ar"/>
        </w:rPr>
        <w:t>一门</w:t>
      </w:r>
      <w:r>
        <w:rPr>
          <w:rFonts w:cs="宋体"/>
          <w:color w:val="000000"/>
          <w:szCs w:val="24"/>
          <w:u w:val="none"/>
          <w:lang w:bidi="ar"/>
        </w:rPr>
        <w:t>公共基础课程，旨在使学生领略多姿多彩的建筑物那美妙的趣味，读解形形色色建筑物沉默的形体、缤纷的色彩和多样的质地，了解建筑美的本质、功能、特征及艺术规律，认识建筑在人类精神生活中的地位,发掘建筑的内涵，寻找属于自己的共鸣。</w:t>
      </w:r>
      <w:r>
        <w:rPr>
          <w:rFonts w:hint="eastAsia" w:ascii="宋体" w:hAnsi="宋体" w:eastAsia="宋体" w:cs="Times New Roman"/>
          <w:kern w:val="2"/>
          <w:sz w:val="24"/>
          <w:szCs w:val="24"/>
          <w:u w:val="none"/>
          <w:lang w:val="en-US" w:eastAsia="zh-CN" w:bidi="ar-SA"/>
        </w:rPr>
        <w:t>通过对该课程的学习，让学生们在一幅幅建筑画卷中进一步理解“工匠精神”，加深对建筑行业的热爱，激发工作热情，帮助学生践行社会主义核心价值观，努力为国家为社会贡献青春力量。</w:t>
      </w:r>
    </w:p>
    <w:p>
      <w:pPr>
        <w:pStyle w:val="16"/>
        <w:widowControl/>
        <w:shd w:val="clear" w:color="auto" w:fill="FFFFFF"/>
        <w:adjustRightInd w:val="0"/>
        <w:snapToGrid w:val="0"/>
        <w:ind w:firstLine="480"/>
        <w:rPr>
          <w:rFonts w:hint="default"/>
          <w:kern w:val="2"/>
          <w:szCs w:val="24"/>
          <w:u w:val="none"/>
        </w:rPr>
      </w:pPr>
      <w:r>
        <w:rPr>
          <w:kern w:val="2"/>
          <w:szCs w:val="24"/>
          <w:u w:val="none"/>
        </w:rPr>
        <w:t>(1</w:t>
      </w:r>
      <w:r>
        <w:rPr>
          <w:rFonts w:hint="eastAsia"/>
          <w:kern w:val="2"/>
          <w:szCs w:val="24"/>
          <w:u w:val="none"/>
          <w:lang w:val="en-US" w:eastAsia="zh-CN"/>
        </w:rPr>
        <w:t>5</w:t>
      </w:r>
      <w:r>
        <w:rPr>
          <w:kern w:val="2"/>
          <w:szCs w:val="24"/>
          <w:u w:val="none"/>
        </w:rPr>
        <w:t>)</w:t>
      </w:r>
      <w:r>
        <w:rPr>
          <w:kern w:val="2"/>
          <w:szCs w:val="24"/>
          <w:u w:val="none"/>
          <w:lang w:eastAsia="zh-Hans"/>
        </w:rPr>
        <w:t>劳动教育</w:t>
      </w:r>
    </w:p>
    <w:p>
      <w:pPr>
        <w:pStyle w:val="16"/>
        <w:widowControl/>
        <w:shd w:val="clear" w:color="auto" w:fill="FFFFFF"/>
        <w:adjustRightInd w:val="0"/>
        <w:snapToGrid w:val="0"/>
        <w:ind w:firstLine="480"/>
        <w:rPr>
          <w:rFonts w:hint="default" w:ascii="宋体" w:hAnsi="宋体" w:eastAsia="宋体" w:cs="Times New Roman"/>
          <w:kern w:val="2"/>
          <w:sz w:val="24"/>
          <w:szCs w:val="24"/>
          <w:u w:val="none"/>
          <w:lang w:val="en-US" w:eastAsia="zh-CN" w:bidi="ar-SA"/>
        </w:rPr>
      </w:pPr>
      <w:r>
        <w:rPr>
          <w:kern w:val="2"/>
          <w:szCs w:val="24"/>
          <w:u w:val="none"/>
        </w:rPr>
        <w:t>本课程是一门公共基础课程。该课程涵盖劳动科学不同领域的基础知识，围绕劳动主题，从历史到未来，完整勾勒出劳动科学的基本样貌，包括劳动的思想、劳动与人生、劳动与经济、劳动与法律、劳动与安全、劳动的未来等17章内容，通过本课程学习，能使学生掌握与自身未来职业发展密切相关的通用劳动科学知识，理解和形成马克思主义劳动观，树立正确的劳动价值取向和积极的劳动精神面貌。</w:t>
      </w:r>
      <w:r>
        <w:rPr>
          <w:rFonts w:hint="eastAsia" w:ascii="宋体" w:hAnsi="宋体" w:eastAsia="宋体" w:cs="Times New Roman"/>
          <w:kern w:val="2"/>
          <w:sz w:val="24"/>
          <w:szCs w:val="24"/>
          <w:u w:val="none"/>
          <w:lang w:val="en-US" w:eastAsia="zh-Hans" w:bidi="ar-SA"/>
        </w:rPr>
        <w:t>通过对该课程的学习</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可以</w:t>
      </w:r>
      <w:r>
        <w:rPr>
          <w:rFonts w:hint="eastAsia" w:ascii="宋体" w:hAnsi="宋体" w:eastAsia="宋体" w:cs="Times New Roman"/>
          <w:kern w:val="2"/>
          <w:sz w:val="24"/>
          <w:szCs w:val="24"/>
          <w:u w:val="none"/>
          <w:lang w:val="en-US" w:eastAsia="zh-CN" w:bidi="ar-SA"/>
        </w:rPr>
        <w:t>引导学生确立马克思主义劳动观和幸福观，涵养劳动情怀，厚植劳动精神，确立劳动最光荣、劳动最美丽的价值认同；培育学生知行合一，脚踏实地的实践精神；引导学生坚定理想信念在成长成才中的意义，培育创新精神；提高学生服务国家、服务人民的社会责任感，激发学生锻造服务社会能力和追求向上向善价值的活力。</w:t>
      </w:r>
    </w:p>
    <w:p>
      <w:pPr>
        <w:pStyle w:val="16"/>
        <w:widowControl/>
        <w:shd w:val="clear" w:color="auto" w:fill="FFFFFF"/>
        <w:adjustRightInd w:val="0"/>
        <w:snapToGrid w:val="0"/>
        <w:ind w:firstLine="480"/>
        <w:rPr>
          <w:rFonts w:hint="default"/>
          <w:kern w:val="2"/>
          <w:szCs w:val="24"/>
          <w:u w:val="none"/>
        </w:rPr>
      </w:pPr>
      <w:r>
        <w:rPr>
          <w:kern w:val="2"/>
          <w:szCs w:val="24"/>
          <w:u w:val="none"/>
        </w:rPr>
        <w:t>(1</w:t>
      </w:r>
      <w:r>
        <w:rPr>
          <w:rFonts w:hint="eastAsia"/>
          <w:kern w:val="2"/>
          <w:szCs w:val="24"/>
          <w:u w:val="none"/>
          <w:lang w:val="en-US" w:eastAsia="zh-CN"/>
        </w:rPr>
        <w:t>6</w:t>
      </w:r>
      <w:r>
        <w:rPr>
          <w:kern w:val="2"/>
          <w:szCs w:val="24"/>
          <w:u w:val="none"/>
        </w:rPr>
        <w:t>)</w:t>
      </w:r>
      <w:r>
        <w:rPr>
          <w:kern w:val="2"/>
          <w:szCs w:val="24"/>
          <w:u w:val="none"/>
          <w:lang w:eastAsia="zh-Hans"/>
        </w:rPr>
        <w:t>大学生国家安全教育</w:t>
      </w:r>
    </w:p>
    <w:p>
      <w:pPr>
        <w:adjustRightInd w:val="0"/>
        <w:snapToGrid w:val="0"/>
        <w:ind w:firstLine="480"/>
        <w:rPr>
          <w:rFonts w:hint="eastAsia" w:ascii="宋体" w:hAnsi="宋体" w:eastAsia="宋体" w:cs="Times New Roman"/>
          <w:szCs w:val="24"/>
          <w:u w:val="none"/>
        </w:rPr>
      </w:pPr>
      <w:r>
        <w:rPr>
          <w:rFonts w:hint="eastAsia" w:ascii="宋体" w:hAnsi="宋体"/>
          <w:szCs w:val="24"/>
          <w:u w:val="none"/>
        </w:rPr>
        <w:t>本课程是一门公共基础课程，也是我院各专业开设的一门网络通识课程。该课程以习近平总体国家安全观为主线，全面介绍国家安全战略、国家安全管理和国家安全法治等内容，向大学生展现一张宏伟的国家安全蓝图，激发大学生的爱国主义情怀。主讲教师团队通过案例教学，以鲜活的安全案例来阐述国家安全理论，让大学生从生动的案例中学习国家安全知识，培养大学生维护国家安全的责任感与能力。</w:t>
      </w:r>
      <w:r>
        <w:rPr>
          <w:rFonts w:hint="eastAsia" w:ascii="宋体" w:hAnsi="宋体" w:eastAsia="宋体" w:cs="Times New Roman"/>
          <w:szCs w:val="24"/>
          <w:u w:val="none"/>
          <w:lang w:eastAsia="zh-Hans"/>
        </w:rPr>
        <w:t>该课程将思政育人融入到了课程教学，正确引导大学生树立正确的价值取向，通过该课程的学习，可以提升学生的综合能力和道德素养，不断推进科教兴国与人才强国战略的实施。</w:t>
      </w:r>
    </w:p>
    <w:p>
      <w:pPr>
        <w:adjustRightInd w:val="0"/>
        <w:snapToGrid w:val="0"/>
        <w:ind w:firstLine="480"/>
        <w:rPr>
          <w:rFonts w:hint="eastAsia" w:ascii="宋体" w:hAnsi="宋体"/>
          <w:szCs w:val="24"/>
          <w:u w:val="none"/>
        </w:rPr>
      </w:pPr>
      <w:r>
        <w:rPr>
          <w:rFonts w:hint="eastAsia" w:ascii="宋体" w:hAnsi="宋体"/>
          <w:szCs w:val="24"/>
          <w:u w:val="none"/>
        </w:rPr>
        <w:t>（1</w:t>
      </w:r>
      <w:r>
        <w:rPr>
          <w:rFonts w:hint="eastAsia" w:ascii="宋体" w:hAnsi="宋体"/>
          <w:szCs w:val="24"/>
          <w:u w:val="none"/>
          <w:lang w:val="en-US" w:eastAsia="zh-CN"/>
        </w:rPr>
        <w:t>7</w:t>
      </w:r>
      <w:r>
        <w:rPr>
          <w:rFonts w:hint="eastAsia" w:ascii="宋体" w:hAnsi="宋体"/>
          <w:szCs w:val="24"/>
          <w:u w:val="none"/>
        </w:rPr>
        <w:t>）</w:t>
      </w:r>
      <w:r>
        <w:rPr>
          <w:rFonts w:hint="eastAsia" w:ascii="宋体" w:hAnsi="宋体"/>
          <w:szCs w:val="24"/>
          <w:u w:val="none"/>
          <w:lang w:eastAsia="zh-Hans"/>
        </w:rPr>
        <w:t>大学生创新基础</w:t>
      </w:r>
    </w:p>
    <w:p>
      <w:pPr>
        <w:pStyle w:val="16"/>
        <w:widowControl/>
        <w:shd w:val="clear" w:color="auto" w:fill="FFFFFF"/>
        <w:adjustRightInd w:val="0"/>
        <w:snapToGrid w:val="0"/>
        <w:ind w:firstLine="480"/>
        <w:rPr>
          <w:rFonts w:hint="default"/>
          <w:kern w:val="2"/>
          <w:szCs w:val="24"/>
          <w:u w:val="none"/>
          <w:lang w:eastAsia="zh-Hans"/>
        </w:rPr>
      </w:pPr>
      <w:r>
        <w:rPr>
          <w:kern w:val="2"/>
          <w:szCs w:val="24"/>
          <w:u w:val="none"/>
        </w:rPr>
        <w:t>本课程是一门公共基础课程，也是我院各专业开设的一门网络通识课程。该课程立足于新世纪大学生的创新通识教育，采用“理论+方法＋应用”三为一体的方式，引导学生了解创新本质，探究创新性思维原理，培养学生的创新思考方式。通过对几种常用创新思维工具的应用训练，促进学生对当今时代创新实践应用的深度感知，从而开阔创新视野，启发及促进大学生群体的创新实践。</w:t>
      </w:r>
      <w:r>
        <w:rPr>
          <w:rFonts w:hint="eastAsia" w:ascii="宋体" w:hAnsi="宋体" w:eastAsia="宋体" w:cs="Times New Roman"/>
          <w:kern w:val="2"/>
          <w:sz w:val="24"/>
          <w:szCs w:val="24"/>
          <w:u w:val="none"/>
          <w:lang w:val="en-US" w:eastAsia="zh-Hans" w:bidi="ar-SA"/>
        </w:rPr>
        <w:t>该课程融入</w:t>
      </w:r>
      <w:r>
        <w:rPr>
          <w:rFonts w:hint="eastAsia" w:ascii="宋体" w:hAnsi="宋体" w:eastAsia="宋体" w:cs="Times New Roman"/>
          <w:kern w:val="2"/>
          <w:sz w:val="24"/>
          <w:szCs w:val="24"/>
          <w:u w:val="none"/>
          <w:lang w:val="en-US" w:eastAsia="zh-CN" w:bidi="ar-SA"/>
        </w:rPr>
        <w:t>社会主义核心价值观</w:t>
      </w:r>
      <w:r>
        <w:rPr>
          <w:rFonts w:hint="default" w:ascii="宋体" w:hAnsi="宋体" w:eastAsia="宋体" w:cs="Times New Roman"/>
          <w:kern w:val="2"/>
          <w:sz w:val="24"/>
          <w:szCs w:val="24"/>
          <w:u w:val="none"/>
          <w:lang w:val="en-US" w:eastAsia="zh-CN" w:bidi="ar-SA"/>
        </w:rPr>
        <w:t>，让社会主义核心价值观入脑入心，</w:t>
      </w:r>
      <w:r>
        <w:rPr>
          <w:rFonts w:hint="eastAsia" w:ascii="宋体" w:hAnsi="宋体" w:eastAsia="宋体" w:cs="Times New Roman"/>
          <w:kern w:val="2"/>
          <w:sz w:val="24"/>
          <w:szCs w:val="24"/>
          <w:u w:val="none"/>
          <w:lang w:val="en-US" w:eastAsia="zh-Hans" w:bidi="ar-SA"/>
        </w:rPr>
        <w:t>通过对本课程的学习</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可以帮助学生明确创新本质</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理解创新的重要性</w:t>
      </w:r>
      <w:r>
        <w:rPr>
          <w:rFonts w:hint="default" w:ascii="宋体" w:hAnsi="宋体" w:eastAsia="宋体" w:cs="Times New Roman"/>
          <w:kern w:val="2"/>
          <w:sz w:val="24"/>
          <w:szCs w:val="24"/>
          <w:u w:val="none"/>
          <w:lang w:val="en-US" w:eastAsia="zh-Hans" w:bidi="ar-SA"/>
        </w:rPr>
        <w:t>，</w:t>
      </w:r>
      <w:r>
        <w:rPr>
          <w:rFonts w:hint="eastAsia" w:ascii="宋体" w:hAnsi="宋体" w:eastAsia="宋体" w:cs="Times New Roman"/>
          <w:kern w:val="2"/>
          <w:sz w:val="24"/>
          <w:szCs w:val="24"/>
          <w:u w:val="none"/>
          <w:lang w:val="en-US" w:eastAsia="zh-Hans" w:bidi="ar-SA"/>
        </w:rPr>
        <w:t>开阔创新思维了解创新在社会各个领域的实践</w:t>
      </w:r>
      <w:r>
        <w:rPr>
          <w:rFonts w:hint="eastAsia" w:ascii="宋体" w:hAnsi="宋体" w:eastAsia="宋体" w:cs="Times New Roman"/>
          <w:kern w:val="2"/>
          <w:sz w:val="24"/>
          <w:szCs w:val="24"/>
          <w:u w:val="none"/>
          <w:lang w:val="en-US" w:eastAsia="zh-CN" w:bidi="ar-SA"/>
        </w:rPr>
        <w:t>运</w:t>
      </w:r>
      <w:r>
        <w:rPr>
          <w:rFonts w:hint="eastAsia" w:ascii="宋体" w:hAnsi="宋体" w:eastAsia="宋体" w:cs="Times New Roman"/>
          <w:kern w:val="2"/>
          <w:sz w:val="24"/>
          <w:szCs w:val="24"/>
          <w:u w:val="none"/>
          <w:lang w:val="en-US" w:eastAsia="zh-Hans" w:bidi="ar-SA"/>
        </w:rPr>
        <w:t>用</w:t>
      </w:r>
      <w:r>
        <w:rPr>
          <w:rFonts w:hint="eastAsia" w:ascii="宋体" w:hAnsi="宋体" w:eastAsia="宋体" w:cs="Times New Roman"/>
          <w:kern w:val="2"/>
          <w:sz w:val="24"/>
          <w:szCs w:val="24"/>
          <w:u w:val="none"/>
          <w:lang w:val="en-US" w:eastAsia="zh-CN" w:bidi="ar-SA"/>
        </w:rPr>
        <w:t>情</w:t>
      </w:r>
      <w:r>
        <w:rPr>
          <w:rFonts w:hint="eastAsia" w:ascii="宋体" w:hAnsi="宋体" w:eastAsia="宋体" w:cs="Times New Roman"/>
          <w:kern w:val="2"/>
          <w:sz w:val="24"/>
          <w:szCs w:val="24"/>
          <w:u w:val="none"/>
          <w:lang w:val="en-US" w:eastAsia="zh-Hans" w:bidi="ar-SA"/>
        </w:rPr>
        <w:t>况</w:t>
      </w:r>
      <w:r>
        <w:rPr>
          <w:rFonts w:hint="default" w:ascii="宋体" w:hAnsi="宋体" w:eastAsia="宋体" w:cs="Times New Roman"/>
          <w:kern w:val="2"/>
          <w:sz w:val="24"/>
          <w:szCs w:val="24"/>
          <w:u w:val="none"/>
          <w:lang w:val="en-US" w:eastAsia="zh-Hans" w:bidi="ar-SA"/>
        </w:rPr>
        <w:t>。</w:t>
      </w:r>
    </w:p>
    <w:p>
      <w:pPr>
        <w:adjustRightInd w:val="0"/>
        <w:snapToGrid w:val="0"/>
        <w:ind w:firstLine="480"/>
        <w:rPr>
          <w:rFonts w:hint="eastAsia" w:ascii="宋体" w:hAnsi="宋体"/>
          <w:szCs w:val="24"/>
          <w:u w:val="none"/>
        </w:rPr>
      </w:pPr>
      <w:r>
        <w:rPr>
          <w:rFonts w:hint="eastAsia" w:ascii="宋体" w:hAnsi="宋体"/>
          <w:szCs w:val="24"/>
          <w:u w:val="none"/>
        </w:rPr>
        <w:t>（1</w:t>
      </w:r>
      <w:r>
        <w:rPr>
          <w:rFonts w:hint="eastAsia" w:ascii="宋体" w:hAnsi="宋体"/>
          <w:szCs w:val="24"/>
          <w:u w:val="none"/>
          <w:lang w:val="en-US" w:eastAsia="zh-CN"/>
        </w:rPr>
        <w:t>8</w:t>
      </w:r>
      <w:r>
        <w:rPr>
          <w:rFonts w:hint="eastAsia" w:ascii="宋体" w:hAnsi="宋体"/>
          <w:szCs w:val="24"/>
          <w:u w:val="none"/>
        </w:rPr>
        <w:t>）</w:t>
      </w:r>
      <w:r>
        <w:rPr>
          <w:rFonts w:hint="eastAsia" w:ascii="宋体" w:hAnsi="宋体"/>
          <w:szCs w:val="24"/>
          <w:u w:val="none"/>
          <w:lang w:eastAsia="zh-Hans"/>
        </w:rPr>
        <w:t>大学生创业基础</w:t>
      </w:r>
    </w:p>
    <w:p>
      <w:pPr>
        <w:adjustRightInd w:val="0"/>
        <w:snapToGrid w:val="0"/>
        <w:ind w:firstLine="480"/>
        <w:rPr>
          <w:rFonts w:hint="eastAsia" w:ascii="宋体" w:hAnsi="宋体" w:eastAsia="宋体" w:cs="Times New Roman"/>
          <w:szCs w:val="24"/>
          <w:u w:val="none"/>
        </w:rPr>
      </w:pPr>
      <w:r>
        <w:rPr>
          <w:rFonts w:hint="eastAsia" w:ascii="宋体" w:hAnsi="宋体"/>
          <w:szCs w:val="24"/>
          <w:u w:val="none"/>
        </w:rPr>
        <w:t>本课程是一门公共基础课程，也是我院各专业开设的一门网络通识课程。该课程主要介绍了大学生应怎样创业以及创业的具体方法，并用一些案例来说明如何创业，同时对国内外创业情况进行了比较，对大学生创业有很好的借鉴和指导作用，</w:t>
      </w:r>
      <w:r>
        <w:rPr>
          <w:rFonts w:hint="eastAsia" w:ascii="宋体" w:hAnsi="宋体"/>
          <w:szCs w:val="24"/>
          <w:u w:val="none"/>
          <w:lang w:eastAsia="zh-Hans"/>
        </w:rPr>
        <w:t>并</w:t>
      </w:r>
      <w:r>
        <w:rPr>
          <w:rFonts w:hint="eastAsia" w:ascii="宋体" w:hAnsi="宋体"/>
          <w:szCs w:val="24"/>
          <w:u w:val="none"/>
        </w:rPr>
        <w:t>指导学生以团队形式开展一些项目化的实践训练。</w:t>
      </w:r>
      <w:r>
        <w:rPr>
          <w:rFonts w:hint="eastAsia" w:ascii="宋体" w:hAnsi="宋体" w:eastAsia="宋体" w:cs="Times New Roman"/>
          <w:szCs w:val="24"/>
          <w:u w:val="none"/>
          <w:lang w:eastAsia="zh-Hans"/>
        </w:rPr>
        <w:t>该课程融入</w:t>
      </w:r>
      <w:r>
        <w:rPr>
          <w:rFonts w:hint="eastAsia" w:ascii="宋体" w:hAnsi="宋体" w:eastAsia="宋体" w:cs="Times New Roman"/>
          <w:szCs w:val="24"/>
          <w:u w:val="none"/>
        </w:rPr>
        <w:t>社会主义核心价值观，让社会主义核心价值观入脑入心，</w:t>
      </w:r>
      <w:r>
        <w:rPr>
          <w:rFonts w:hint="eastAsia" w:ascii="宋体" w:hAnsi="宋体" w:eastAsia="宋体" w:cs="Times New Roman"/>
          <w:szCs w:val="24"/>
          <w:u w:val="none"/>
          <w:lang w:eastAsia="zh-Hans"/>
        </w:rPr>
        <w:t>通过</w:t>
      </w:r>
      <w:r>
        <w:rPr>
          <w:rFonts w:hint="eastAsia" w:ascii="宋体" w:hAnsi="宋体" w:eastAsia="宋体" w:cs="Times New Roman"/>
          <w:szCs w:val="24"/>
          <w:u w:val="none"/>
        </w:rPr>
        <w:t>该</w:t>
      </w:r>
      <w:r>
        <w:rPr>
          <w:rFonts w:hint="eastAsia" w:ascii="宋体" w:hAnsi="宋体" w:eastAsia="宋体" w:cs="Times New Roman"/>
          <w:szCs w:val="24"/>
          <w:u w:val="none"/>
          <w:lang w:eastAsia="zh-Hans"/>
        </w:rPr>
        <w:t>课程的学习，</w:t>
      </w:r>
      <w:r>
        <w:rPr>
          <w:rFonts w:hint="eastAsia" w:ascii="宋体" w:hAnsi="宋体" w:eastAsia="宋体" w:cs="Times New Roman"/>
          <w:szCs w:val="24"/>
          <w:u w:val="none"/>
        </w:rPr>
        <w:t>引导学生尽早树立创业意识，学会创新性思维，提升精神心理品质，了解企业创建和运行管理的基础知识，提升实践创新能力。</w:t>
      </w:r>
    </w:p>
    <w:p>
      <w:pPr>
        <w:adjustRightInd w:val="0"/>
        <w:snapToGrid w:val="0"/>
        <w:ind w:firstLine="480"/>
        <w:rPr>
          <w:rFonts w:hint="eastAsia" w:ascii="宋体" w:hAnsi="宋体"/>
          <w:szCs w:val="24"/>
          <w:u w:val="none"/>
        </w:rPr>
      </w:pPr>
      <w:r>
        <w:rPr>
          <w:rFonts w:hint="eastAsia" w:ascii="宋体" w:hAnsi="宋体"/>
          <w:szCs w:val="24"/>
          <w:u w:val="none"/>
        </w:rPr>
        <w:t>（1</w:t>
      </w:r>
      <w:r>
        <w:rPr>
          <w:rFonts w:hint="eastAsia" w:ascii="宋体" w:hAnsi="宋体"/>
          <w:szCs w:val="24"/>
          <w:u w:val="none"/>
          <w:lang w:val="en-US" w:eastAsia="zh-CN"/>
        </w:rPr>
        <w:t>9</w:t>
      </w:r>
      <w:r>
        <w:rPr>
          <w:rFonts w:hint="eastAsia" w:ascii="宋体" w:hAnsi="宋体"/>
          <w:szCs w:val="24"/>
          <w:u w:val="none"/>
        </w:rPr>
        <w:t>）</w:t>
      </w:r>
      <w:r>
        <w:rPr>
          <w:rFonts w:hint="eastAsia" w:ascii="宋体" w:hAnsi="宋体"/>
          <w:szCs w:val="24"/>
          <w:u w:val="none"/>
          <w:lang w:eastAsia="zh-Hans"/>
        </w:rPr>
        <w:t>大学生防艾健康教育</w:t>
      </w:r>
    </w:p>
    <w:p>
      <w:pPr>
        <w:pStyle w:val="7"/>
        <w:adjustRightInd w:val="0"/>
        <w:snapToGrid w:val="0"/>
        <w:spacing w:before="0" w:beforeAutospacing="0" w:after="0" w:afterAutospacing="0"/>
        <w:rPr>
          <w:rFonts w:hint="eastAsia" w:ascii="宋体" w:hAnsi="宋体" w:eastAsia="宋体" w:cs="Times New Roman"/>
          <w:kern w:val="2"/>
          <w:sz w:val="24"/>
          <w:szCs w:val="24"/>
          <w:u w:val="none"/>
          <w:lang w:val="en-US" w:eastAsia="zh-CN" w:bidi="ar-SA"/>
        </w:rPr>
      </w:pPr>
      <w:r>
        <w:rPr>
          <w:rFonts w:hint="eastAsia" w:ascii="宋体" w:hAnsi="宋体" w:eastAsia="宋体"/>
          <w:szCs w:val="24"/>
          <w:u w:val="none"/>
        </w:rPr>
        <w:t>本课程是一门公共基础课程，也是我院各专业开设的一门网络通识课程。该课程在普及艾滋病防治知识的基础上，从大学生性健康教育着眼，以大学生喜闻乐见的形式，引导学生在性道德、性责任方面形成明确认知，引导学生建立正确的性观念。</w:t>
      </w:r>
      <w:r>
        <w:rPr>
          <w:rFonts w:hint="eastAsia" w:ascii="宋体" w:hAnsi="宋体" w:eastAsia="宋体" w:cs="Times New Roman"/>
          <w:kern w:val="2"/>
          <w:sz w:val="24"/>
          <w:szCs w:val="24"/>
          <w:u w:val="none"/>
          <w:lang w:val="en-US" w:eastAsia="zh-CN" w:bidi="ar-SA"/>
        </w:rPr>
        <w:t>通过</w:t>
      </w:r>
      <w:r>
        <w:rPr>
          <w:rFonts w:hint="eastAsia" w:ascii="宋体" w:hAnsi="宋体" w:eastAsia="宋体" w:cs="Times New Roman"/>
          <w:kern w:val="2"/>
          <w:sz w:val="24"/>
          <w:szCs w:val="24"/>
          <w:u w:val="none"/>
          <w:lang w:val="en-US" w:eastAsia="zh-Hans" w:bidi="ar-SA"/>
        </w:rPr>
        <w:t>该课程的学习，增强</w:t>
      </w:r>
      <w:r>
        <w:rPr>
          <w:rFonts w:hint="eastAsia" w:ascii="宋体" w:hAnsi="宋体" w:eastAsia="宋体" w:cs="Times New Roman"/>
          <w:kern w:val="2"/>
          <w:sz w:val="24"/>
          <w:szCs w:val="24"/>
          <w:u w:val="none"/>
          <w:lang w:val="en-US" w:eastAsia="zh-CN" w:bidi="ar-SA"/>
        </w:rPr>
        <w:t>大学生对艾滋病认识，引导学生提高自我防护能力，帮助学生正确面对并科学预防艾滋病。</w:t>
      </w:r>
    </w:p>
    <w:p>
      <w:pPr>
        <w:adjustRightInd w:val="0"/>
        <w:snapToGrid w:val="0"/>
        <w:ind w:firstLine="482"/>
        <w:outlineLvl w:val="2"/>
        <w:rPr>
          <w:rFonts w:hint="eastAsia" w:ascii="楷体" w:hAnsi="楷体" w:eastAsia="楷体" w:cs="楷体"/>
          <w:b/>
          <w:bCs/>
          <w:sz w:val="28"/>
          <w:szCs w:val="28"/>
          <w:u w:val="none"/>
        </w:rPr>
      </w:pPr>
      <w:r>
        <w:rPr>
          <w:rFonts w:hint="eastAsia" w:ascii="楷体" w:hAnsi="楷体" w:eastAsia="楷体" w:cs="楷体"/>
          <w:b/>
          <w:bCs/>
          <w:szCs w:val="24"/>
          <w:u w:val="none"/>
        </w:rPr>
        <w:t>2.专业基础课程</w:t>
      </w:r>
      <w:bookmarkEnd w:id="84"/>
      <w:bookmarkEnd w:id="85"/>
      <w:bookmarkEnd w:id="86"/>
      <w:bookmarkEnd w:id="87"/>
      <w:bookmarkEnd w:id="88"/>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（1）建筑材料</w:t>
      </w:r>
      <w:bookmarkEnd w:id="89"/>
    </w:p>
    <w:p>
      <w:pPr>
        <w:pStyle w:val="7"/>
        <w:adjustRightInd w:val="0"/>
        <w:snapToGrid w:val="0"/>
        <w:spacing w:before="0" w:beforeAutospacing="0" w:after="0" w:afterAutospacing="0"/>
        <w:rPr>
          <w:rFonts w:hint="eastAsia" w:ascii="宋体" w:hAnsi="宋体" w:eastAsia="宋体" w:cs="Times New Roman"/>
          <w:kern w:val="2"/>
          <w:sz w:val="24"/>
          <w:szCs w:val="24"/>
          <w:highlight w:val="none"/>
          <w:u w:val="none"/>
          <w:lang w:val="en-US" w:eastAsia="zh-CN" w:bidi="ar-SA"/>
        </w:rPr>
      </w:pPr>
      <w:bookmarkStart w:id="90" w:name="_Toc32388"/>
      <w:bookmarkStart w:id="91" w:name="_Toc18160"/>
      <w:r>
        <w:rPr>
          <w:rFonts w:hint="eastAsia" w:ascii="宋体" w:hAnsi="宋体" w:eastAsia="宋体"/>
          <w:szCs w:val="24"/>
          <w:u w:val="none"/>
        </w:rPr>
        <w:t>本课程是一门专业基础课程，主要内容包括建筑材料的基本性质、石材、水泥、混凝土及砂浆、墙体与屋面材料、建筑钢材、木材、建筑塑料、防水材料、绝热材料和吸声材料、建筑装饰材料等常用建筑材料的基本组成、性能、技术要求和应用范围等。通过学习，要求学生了解和掌握国内目前房屋建筑中常用的各种建筑材料及其发展中的有关新材料、新技术，以利于开阔新思路和合理选用建筑材料。</w:t>
      </w:r>
      <w:bookmarkEnd w:id="90"/>
      <w:r>
        <w:rPr>
          <w:rFonts w:hint="eastAsia" w:ascii="宋体" w:hAnsi="宋体" w:eastAsia="宋体" w:cs="Times New Roman"/>
          <w:kern w:val="2"/>
          <w:sz w:val="24"/>
          <w:szCs w:val="24"/>
          <w:u w:val="none"/>
          <w:lang w:val="en-US" w:eastAsia="zh-CN" w:bidi="ar-SA"/>
        </w:rPr>
        <w:t>该课程同时培养学生精益求精的工匠精神和</w:t>
      </w:r>
      <w:r>
        <w:rPr>
          <w:rFonts w:hint="eastAsia" w:ascii="宋体" w:hAnsi="宋体" w:eastAsia="宋体" w:cs="Times New Roman"/>
          <w:kern w:val="2"/>
          <w:sz w:val="24"/>
          <w:szCs w:val="24"/>
          <w:highlight w:val="none"/>
          <w:u w:val="none"/>
          <w:lang w:val="en-US" w:eastAsia="zh-CN" w:bidi="ar-SA"/>
        </w:rPr>
        <w:t>中国特色社会主义绿色发展观。</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（2）建筑力学</w:t>
      </w:r>
      <w:bookmarkEnd w:id="91"/>
    </w:p>
    <w:p>
      <w:pPr>
        <w:adjustRightInd w:val="0"/>
        <w:snapToGrid w:val="0"/>
        <w:ind w:firstLine="480"/>
        <w:rPr>
          <w:rFonts w:hint="eastAsia" w:ascii="宋体" w:hAnsi="宋体" w:eastAsia="宋体" w:cs="Times New Roman"/>
          <w:szCs w:val="24"/>
          <w:u w:val="none"/>
        </w:rPr>
      </w:pPr>
      <w:bookmarkStart w:id="92" w:name="_Toc7234"/>
      <w:r>
        <w:rPr>
          <w:rFonts w:hint="eastAsia"/>
          <w:u w:val="none"/>
        </w:rPr>
        <w:t>本课程是一门专业基础课程，该课程旨在培养学生熟练掌握对各种工程结构建立相应的力学模型，具备对结构或体系进行受力分析的能力；具备对工程结构中的各种基本受力构件进行力学分析、计算与选型的能力；具备对简单工程结构进行力学分析计算的能力；了解常用钢材的力学机械性能。</w:t>
      </w:r>
      <w:bookmarkEnd w:id="92"/>
      <w:bookmarkStart w:id="93" w:name="_Toc5314"/>
      <w:r>
        <w:rPr>
          <w:rFonts w:hint="eastAsia"/>
          <w:u w:val="none"/>
        </w:rPr>
        <w:t>本门课程主要研究物体的受力分析及所需的相关基础知识——力的投影、力矩、力偶、荷载、约束等；研究杆件安全工作所必须具有的强度、刚度和稳定性条件；结构的研究工程中常见的静定结构和超静定结构的受力情况，以方便对结构进行强度、刚度、稳定性分析。该课程主要根据教学内容涉及教学工程实例，应采用项目教学、案例教学等教学放大，运用启发式、探究式、参与式等教学方法，应用翻转课堂、理实一体教学等教学模式，注重过程考核。</w:t>
      </w:r>
      <w:bookmarkEnd w:id="93"/>
      <w:r>
        <w:rPr>
          <w:rFonts w:hint="eastAsia" w:ascii="宋体" w:hAnsi="宋体" w:eastAsia="宋体" w:cs="Times New Roman"/>
          <w:szCs w:val="24"/>
          <w:u w:val="none"/>
        </w:rPr>
        <w:t>该门课程还能坚定学生对唯物主义的信仰，加深学生对中国特色社会主义体系的认同，强化学生的职业素养和职业道德。</w:t>
      </w:r>
    </w:p>
    <w:p>
      <w:pPr>
        <w:pStyle w:val="7"/>
        <w:adjustRightInd w:val="0"/>
        <w:snapToGrid w:val="0"/>
        <w:spacing w:before="0" w:beforeAutospacing="0" w:after="0" w:afterAutospacing="0"/>
        <w:rPr>
          <w:rFonts w:hint="eastAsia" w:ascii="宋体" w:hAnsi="宋体" w:eastAsia="宋体"/>
          <w:szCs w:val="24"/>
          <w:u w:val="none"/>
        </w:rPr>
      </w:pPr>
      <w:bookmarkStart w:id="94" w:name="_Toc30031"/>
      <w:r>
        <w:rPr>
          <w:rFonts w:hint="eastAsia" w:ascii="宋体" w:hAnsi="宋体" w:eastAsia="宋体"/>
          <w:szCs w:val="24"/>
          <w:u w:val="none"/>
        </w:rPr>
        <w:t>（3）建筑CAD</w:t>
      </w:r>
      <w:bookmarkEnd w:id="94"/>
    </w:p>
    <w:p>
      <w:pPr>
        <w:pStyle w:val="7"/>
        <w:adjustRightInd w:val="0"/>
        <w:snapToGrid w:val="0"/>
        <w:spacing w:before="0" w:beforeAutospacing="0" w:after="0" w:afterAutospacing="0"/>
        <w:rPr>
          <w:rFonts w:hint="eastAsia" w:ascii="宋体" w:hAnsi="宋体" w:eastAsia="宋体" w:cs="Times New Roman"/>
          <w:kern w:val="2"/>
          <w:sz w:val="24"/>
          <w:szCs w:val="24"/>
          <w:u w:val="none"/>
          <w:lang w:val="en-US" w:eastAsia="zh-CN" w:bidi="ar-SA"/>
        </w:rPr>
      </w:pPr>
      <w:bookmarkStart w:id="95" w:name="_Toc6957"/>
      <w:bookmarkStart w:id="96" w:name="_Toc30662"/>
      <w:r>
        <w:rPr>
          <w:rFonts w:hint="eastAsia" w:ascii="宋体" w:hAnsi="宋体" w:eastAsia="宋体" w:cs="宋体"/>
          <w:u w:val="none"/>
        </w:rPr>
        <w:t>本课程是一门专业基础课程，该课程旨在培养学生较强的空间想象能力和构思能力；让学生了解建筑制图的规范标准，能够正确而熟练地使用绘图仪器和绘图工具的能力；培养学生按照国家制图标准正确表达图示内容及绘制建筑工程图的能力；培养学生应用AutoCAD精确高效地绘制工程图样的能力；培养学生熟练识读建筑工程图的能力。</w:t>
      </w:r>
      <w:bookmarkEnd w:id="95"/>
      <w:bookmarkStart w:id="97" w:name="_Toc8688"/>
      <w:r>
        <w:rPr>
          <w:rFonts w:hint="eastAsia" w:ascii="宋体" w:hAnsi="宋体" w:eastAsia="宋体" w:cs="宋体"/>
          <w:u w:val="none"/>
        </w:rPr>
        <w:t>本门课程按照“由简单到复杂”的项目教学法，主要讲授AUTOCAD入门知识、基本图形绘制与编辑、组合图形绘制与编辑、建筑施工图绘制，系统学习CAD绘图指令的对话过程和指令应用技巧等，自主绘制相应专业方向施工图。该课程以项目驱动、任务导向为主要手段，主要采用体验教学、讨论教学、讲练教学、项目教学等教学方式，运用讨论式、参与式等教学方法，应用翻转课堂、混合式教学等教学模式。</w:t>
      </w:r>
      <w:bookmarkEnd w:id="97"/>
      <w:r>
        <w:rPr>
          <w:rFonts w:hint="eastAsia" w:ascii="宋体" w:hAnsi="宋体" w:eastAsia="宋体" w:cs="Times New Roman"/>
          <w:kern w:val="2"/>
          <w:sz w:val="24"/>
          <w:szCs w:val="24"/>
          <w:u w:val="none"/>
          <w:lang w:val="en-US" w:eastAsia="zh-CN" w:bidi="ar-SA"/>
        </w:rPr>
        <w:t>该课程将专业知识、专业技能的教学融汇在对学生爱国主义的引领，对学生工匠精神的养成有非常好的实践价值。</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（4）建筑工程合同管理与法规</w:t>
      </w:r>
      <w:bookmarkEnd w:id="96"/>
    </w:p>
    <w:p>
      <w:pPr>
        <w:pStyle w:val="7"/>
        <w:adjustRightInd w:val="0"/>
        <w:snapToGrid w:val="0"/>
        <w:spacing w:before="0" w:beforeAutospacing="0" w:after="0" w:afterAutospacing="0"/>
        <w:rPr>
          <w:rFonts w:hint="eastAsia" w:ascii="宋体" w:hAnsi="宋体" w:eastAsia="宋体" w:cs="宋体"/>
          <w:u w:val="none"/>
        </w:rPr>
      </w:pPr>
      <w:bookmarkStart w:id="98" w:name="_Toc32343"/>
      <w:bookmarkStart w:id="99" w:name="_Toc31071"/>
      <w:r>
        <w:rPr>
          <w:rFonts w:hint="eastAsia" w:ascii="宋体" w:hAnsi="宋体" w:eastAsia="宋体" w:cs="宋体"/>
          <w:u w:val="none"/>
        </w:rPr>
        <w:t>本课程是一门专业基础课程，该课程旨在培养学生树立工程建设的法律意识，具备懂法、守法和运用的能力，能运用所学习法规知识指导实际工作，具备解决工程建设中相关法律问题的基本能力，并遵守建筑法规的规定；具备相关行业与领域工程管理类专业人员国家执业资格要求的理论知识；具备鲜活的创新意识和可持续发展理念，树立良好的人文社会科学素养和工程职业道德；培养学生工程建设的法律意识，严谨的工作态度和良好的团队合作意识。</w:t>
      </w:r>
      <w:bookmarkEnd w:id="98"/>
      <w:bookmarkStart w:id="100" w:name="_Toc16154"/>
      <w:r>
        <w:rPr>
          <w:rFonts w:hint="eastAsia" w:ascii="宋体" w:hAnsi="宋体" w:eastAsia="宋体" w:cs="宋体"/>
          <w:u w:val="none"/>
        </w:rPr>
        <w:t>该门课程主要讲述建设法规与普通法规的关系，建筑法规的体系及立法原则，城乡规划法，建筑法，招标投标法，工程合同法，建设用地法律制度，房地产管理法，建设工程纠纷处理机制等。本课程主要采用项目教学、案例教学等教学方式，运用讨论式、参与式等教学方法，以案说法，以案学法，具有较强的实践性和针对性。</w:t>
      </w:r>
      <w:bookmarkEnd w:id="100"/>
      <w:r>
        <w:rPr>
          <w:rFonts w:hint="eastAsia" w:ascii="宋体" w:hAnsi="宋体" w:eastAsia="宋体" w:cs="Times New Roman"/>
          <w:kern w:val="2"/>
          <w:sz w:val="24"/>
          <w:szCs w:val="24"/>
          <w:u w:val="none"/>
          <w:lang w:val="en-US" w:eastAsia="zh-CN" w:bidi="ar-SA"/>
        </w:rPr>
        <w:t>该门课程不仅要给学生传授法律知识，培养运用法律知识的能力，在学生价值观的培育和塑造以及遵纪守法意识的培养方面也具有不可推卸的责任。</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（5）建筑设备与安装识图</w:t>
      </w:r>
      <w:bookmarkEnd w:id="99"/>
    </w:p>
    <w:p>
      <w:pPr>
        <w:pStyle w:val="7"/>
        <w:adjustRightInd w:val="0"/>
        <w:snapToGrid w:val="0"/>
        <w:spacing w:before="0" w:beforeAutospacing="0" w:after="0" w:afterAutospacing="0"/>
        <w:rPr>
          <w:rFonts w:hint="eastAsia" w:ascii="宋体" w:hAnsi="宋体" w:eastAsia="宋体" w:cs="Times New Roman"/>
          <w:kern w:val="2"/>
          <w:sz w:val="24"/>
          <w:szCs w:val="24"/>
          <w:u w:val="none"/>
          <w:lang w:val="en-US" w:eastAsia="zh-CN" w:bidi="ar-SA"/>
        </w:rPr>
      </w:pPr>
      <w:bookmarkStart w:id="101" w:name="_Toc10004"/>
      <w:r>
        <w:rPr>
          <w:rFonts w:hint="eastAsia" w:ascii="宋体" w:hAnsi="宋体" w:eastAsia="宋体" w:cs="Times New Roman"/>
          <w:szCs w:val="24"/>
          <w:u w:val="none"/>
        </w:rPr>
        <w:t>本课程是一门专业基础课程</w:t>
      </w:r>
      <w:r>
        <w:rPr>
          <w:rFonts w:hint="eastAsia" w:ascii="宋体" w:hAnsi="宋体" w:eastAsia="宋体" w:cs="Times New Roman"/>
          <w:szCs w:val="24"/>
          <w:u w:val="none"/>
          <w:lang w:eastAsia="zh-CN"/>
        </w:rPr>
        <w:t>，</w:t>
      </w:r>
      <w:r>
        <w:rPr>
          <w:rFonts w:hint="eastAsia" w:ascii="宋体" w:hAnsi="宋体" w:eastAsia="宋体" w:cs="Times New Roman"/>
          <w:szCs w:val="24"/>
          <w:u w:val="none"/>
        </w:rPr>
        <w:t>该课</w:t>
      </w:r>
      <w:r>
        <w:rPr>
          <w:rFonts w:hint="eastAsia" w:ascii="宋体" w:hAnsi="宋体" w:eastAsia="宋体"/>
          <w:szCs w:val="24"/>
          <w:u w:val="none"/>
        </w:rPr>
        <w:t>程主要介绍给排水工程、供暖工程、通风与空调工程、建筑电气工程中主要设备的种类与功能、设备的安装施工技术要求。通过本课程的学习，使学生掌握建筑给排水、采暖通风与空气调节、电气工程的基本理论、基本知识和基本技能；并能阅读建筑给排水施工图、供暖施工图、通风施工图、空调施工图、建筑电气施工图；熟悉设计和施工规范。</w:t>
      </w:r>
      <w:bookmarkEnd w:id="101"/>
      <w:bookmarkStart w:id="102" w:name="_Toc32611"/>
      <w:r>
        <w:rPr>
          <w:rFonts w:hint="eastAsia" w:ascii="宋体" w:hAnsi="宋体" w:eastAsia="宋体" w:cs="Times New Roman"/>
          <w:kern w:val="2"/>
          <w:sz w:val="24"/>
          <w:szCs w:val="24"/>
          <w:u w:val="none"/>
          <w:lang w:val="en-US" w:eastAsia="zh-CN" w:bidi="ar-SA"/>
        </w:rPr>
        <w:t>该课程还能让学生树立科学设计、科学管理的专业理念以及强烈的社会责任感和严谨认真的工作意识。</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（6）建筑制图与识图</w:t>
      </w:r>
      <w:bookmarkEnd w:id="102"/>
    </w:p>
    <w:p>
      <w:pPr>
        <w:adjustRightInd w:val="0"/>
        <w:snapToGrid w:val="0"/>
        <w:ind w:firstLine="480"/>
        <w:rPr>
          <w:rFonts w:hint="eastAsia" w:ascii="宋体" w:hAnsi="宋体" w:eastAsia="宋体" w:cs="Times New Roman"/>
          <w:szCs w:val="24"/>
          <w:u w:val="none"/>
        </w:rPr>
      </w:pPr>
      <w:bookmarkStart w:id="103" w:name="_Toc6209"/>
      <w:bookmarkStart w:id="104" w:name="_Toc26075"/>
      <w:r>
        <w:rPr>
          <w:rFonts w:hint="eastAsia"/>
          <w:u w:val="none"/>
        </w:rPr>
        <w:t>本课程是一门专业基础课程，该课程旨在培养学生掌握建筑施工图相关内容的识图及绘图方法，具备一定的空间想象力和思维能力，初步形成建筑的结构和构造做法，培养绘制和读识建筑类工程施工图的制图职业素质，提高职业就业能力，了解民用建筑和工业建筑中各组成部分的构造组成和设计原理，了解设计中的功能问题、结构问题、经济问题、美观问题。</w:t>
      </w:r>
      <w:bookmarkEnd w:id="103"/>
      <w:bookmarkStart w:id="105" w:name="_Toc10984"/>
      <w:r>
        <w:rPr>
          <w:rFonts w:hint="eastAsia"/>
          <w:u w:val="none"/>
        </w:rPr>
        <w:t>该门课程主要讲授投影基础、立体的投影、形体的表达、制图基础、建筑施工图、结构施工图、单层工业厂房施工图、建筑给水排水工程图和计算机绘制建筑图等内容。该课程主要以多媒体教学手段，运用虚拟动画演示，变抽象的理论为直观性的过程演示，主要采用项目教学、案例教学、模块化教学等教学方式，运用启发式、讨论式、参与式等教学方法，应用翻转课堂、理实一体教学等教学模式。</w:t>
      </w:r>
      <w:bookmarkEnd w:id="105"/>
      <w:r>
        <w:rPr>
          <w:rFonts w:hint="eastAsia" w:ascii="宋体" w:hAnsi="宋体" w:eastAsia="宋体" w:cs="Times New Roman"/>
          <w:szCs w:val="24"/>
          <w:u w:val="none"/>
        </w:rPr>
        <w:t>该课程还能培育学生良好的职业素养和职业精神，树立学生民族自豪感，培育学生大国“工匠精神”。</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（7）房屋建筑学</w:t>
      </w:r>
      <w:bookmarkEnd w:id="104"/>
    </w:p>
    <w:p>
      <w:pPr>
        <w:adjustRightInd w:val="0"/>
        <w:snapToGrid w:val="0"/>
        <w:ind w:firstLine="480"/>
        <w:rPr>
          <w:rFonts w:hint="eastAsia" w:ascii="宋体" w:hAnsi="宋体" w:eastAsia="宋体" w:cs="Times New Roman"/>
          <w:szCs w:val="24"/>
          <w:u w:val="none"/>
        </w:rPr>
      </w:pPr>
      <w:bookmarkStart w:id="106" w:name="_Toc31804"/>
      <w:bookmarkStart w:id="107" w:name="_Toc17306"/>
      <w:r>
        <w:rPr>
          <w:rFonts w:hint="eastAsia"/>
          <w:u w:val="none"/>
        </w:rPr>
        <w:t>本课程是一门专业基础课程，通过学习该门课使学生掌握建筑构造和建筑设计原理两大部分内容，该课程的主要内容包括：工业与民用建筑的构造组成、构造原理和构造方法，同时介绍建筑及建筑设计的初步知识、民用建筑的基础、墙体与地下室、楼板、地面、楼梯、屋顶、门窗、变形缝及单层工业厂房外墙、屋面、门窗、地面和其他设施等内容。通过本课程的学习使学生熟悉各类房屋的基本构造，以及掌握对房屋建筑工程图纸的识读，具有从事中小型建筑方案设计和建筑施工图设计的初步能力。</w:t>
      </w:r>
      <w:bookmarkEnd w:id="106"/>
      <w:r>
        <w:rPr>
          <w:rFonts w:hint="eastAsia" w:ascii="宋体" w:hAnsi="宋体" w:eastAsia="宋体" w:cs="Times New Roman"/>
          <w:szCs w:val="24"/>
          <w:u w:val="none"/>
        </w:rPr>
        <w:t>该课程还能培养强烈的社会责任感和严谨的工作作风，培育学生的新时代创新精神。</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（8）建筑结构</w:t>
      </w:r>
      <w:bookmarkEnd w:id="107"/>
    </w:p>
    <w:p>
      <w:pPr>
        <w:adjustRightInd w:val="0"/>
        <w:snapToGrid w:val="0"/>
        <w:ind w:firstLine="480"/>
        <w:rPr>
          <w:rFonts w:hint="eastAsia" w:ascii="宋体" w:hAnsi="宋体" w:eastAsia="宋体" w:cs="Times New Roman"/>
          <w:szCs w:val="24"/>
          <w:u w:val="none"/>
        </w:rPr>
      </w:pPr>
      <w:bookmarkStart w:id="108" w:name="_Toc28013"/>
      <w:r>
        <w:rPr>
          <w:rFonts w:hint="eastAsia"/>
          <w:u w:val="none"/>
        </w:rPr>
        <w:t>本课程是一门专业基础课程，该课程旨在培养学生掌握钢筋混泥土、砌体结构、钢结构和钢筋混凝土单层厂房构件的计算原理和放大，掌握混合结构、框架结构的设计计算方法及施工图的绘制，培养学生计算和绘图技能，并训练学生运用结构设计规范、结构设计手册、标准图集等设计资料的能力。</w:t>
      </w:r>
      <w:bookmarkEnd w:id="108"/>
      <w:bookmarkStart w:id="109" w:name="_Toc20958"/>
      <w:r>
        <w:rPr>
          <w:rFonts w:hint="eastAsia"/>
          <w:u w:val="none"/>
        </w:rPr>
        <w:t>该课程主要讲授建筑结构的基本设计原则、钢筋混凝土结构构件、钢筋混凝土梁板结构、钢筋混凝土单层工业厂房、砌体结构、钢结构、结构施工图等。本课程教学通过方法和任务推动真实的学习过程，采用项目教学、任务驱动、案例教学等发挥学生主体作用的教学方法，课堂教学采用模拟现场教学，以典型工作项目或任务为载体，在教学过程中教师展示、演示和学生分组操作并行，学生提问与教师解答、指导有机结合，在专业、方法及社会能力上，</w:t>
      </w:r>
      <w:r>
        <w:rPr>
          <w:rFonts w:hint="eastAsia" w:ascii="宋体" w:hAnsi="宋体" w:eastAsia="宋体" w:cs="Times New Roman"/>
          <w:szCs w:val="24"/>
          <w:u w:val="none"/>
        </w:rPr>
        <w:t>以行动导向式教学培养学生务实严谨的职业素养。</w:t>
      </w:r>
      <w:bookmarkEnd w:id="109"/>
    </w:p>
    <w:p>
      <w:pPr>
        <w:pStyle w:val="7"/>
        <w:adjustRightInd w:val="0"/>
        <w:snapToGrid w:val="0"/>
        <w:spacing w:before="0" w:beforeAutospacing="0" w:after="0" w:afterAutospacing="0"/>
        <w:rPr>
          <w:rFonts w:hint="eastAsia" w:ascii="宋体" w:hAnsi="宋体" w:eastAsia="宋体"/>
          <w:szCs w:val="24"/>
          <w:u w:val="none"/>
        </w:rPr>
      </w:pPr>
      <w:bookmarkStart w:id="110" w:name="_Toc20920"/>
      <w:r>
        <w:rPr>
          <w:rFonts w:hint="eastAsia" w:ascii="宋体" w:hAnsi="宋体" w:eastAsia="宋体"/>
          <w:szCs w:val="24"/>
          <w:u w:val="none"/>
        </w:rPr>
        <w:t>（9）工程测量</w:t>
      </w:r>
      <w:bookmarkEnd w:id="110"/>
    </w:p>
    <w:p>
      <w:pPr>
        <w:adjustRightInd w:val="0"/>
        <w:snapToGrid w:val="0"/>
        <w:ind w:firstLine="480"/>
        <w:rPr>
          <w:rFonts w:hint="eastAsia" w:ascii="宋体" w:hAnsi="宋体" w:eastAsia="宋体" w:cs="Times New Roman"/>
          <w:szCs w:val="24"/>
          <w:u w:val="none"/>
        </w:rPr>
      </w:pPr>
      <w:bookmarkStart w:id="111" w:name="_Toc14358"/>
      <w:r>
        <w:rPr>
          <w:rFonts w:hint="eastAsia"/>
          <w:u w:val="none"/>
        </w:rPr>
        <w:t>本课程是一门专业基础课程，该课程向学生介绍了测量定位的基本原理、方法及测量在工程建设中的应用，旨在培养学生理解和掌握测量基本理论和基本技术，掌握基本测量仪器（水准仪、经纬仪、全站仪）的操作及使用，逐步培养学生测、算、绘的基本工作能力，培养学生看图、用图的基本能力，掌握施工测量的基本方法。本课程主要介绍新型测量仪器的使用；导线、交会定点、道路曲线计算的程序设计；数字测图系统；测绘技术在大型工程建设的应用等。</w:t>
      </w:r>
      <w:bookmarkEnd w:id="111"/>
      <w:r>
        <w:rPr>
          <w:rFonts w:hint="eastAsia" w:ascii="宋体" w:hAnsi="宋体" w:eastAsia="宋体" w:cs="Times New Roman"/>
          <w:szCs w:val="24"/>
          <w:u w:val="none"/>
        </w:rPr>
        <w:t>该课程能够树立学生不怕吃苦、艰苦奋斗的工作作风和一丝不苟的职业操守。</w:t>
      </w:r>
    </w:p>
    <w:p>
      <w:pPr>
        <w:pStyle w:val="7"/>
        <w:adjustRightInd w:val="0"/>
        <w:snapToGrid w:val="0"/>
        <w:spacing w:before="0" w:beforeAutospacing="0" w:after="0" w:afterAutospacing="0"/>
        <w:rPr>
          <w:rFonts w:hint="eastAsia" w:ascii="宋体" w:hAnsi="宋体" w:eastAsia="宋体"/>
          <w:szCs w:val="24"/>
          <w:u w:val="none"/>
        </w:rPr>
      </w:pPr>
      <w:bookmarkStart w:id="112" w:name="_Toc15242"/>
      <w:r>
        <w:rPr>
          <w:rFonts w:hint="eastAsia" w:ascii="宋体" w:hAnsi="宋体" w:eastAsia="宋体"/>
          <w:szCs w:val="24"/>
          <w:u w:val="none"/>
        </w:rPr>
        <w:t>（10）建筑施工技术</w:t>
      </w:r>
      <w:bookmarkEnd w:id="112"/>
    </w:p>
    <w:p>
      <w:pPr>
        <w:pStyle w:val="17"/>
        <w:adjustRightInd w:val="0"/>
        <w:snapToGrid w:val="0"/>
        <w:ind w:firstLine="480"/>
        <w:outlineLvl w:val="9"/>
        <w:rPr>
          <w:rFonts w:hint="eastAsia" w:ascii="宋体" w:hAnsi="宋体" w:eastAsia="宋体" w:cs="Times New Roman"/>
          <w:b w:val="0"/>
          <w:bCs w:val="0"/>
          <w:kern w:val="2"/>
          <w:sz w:val="24"/>
          <w:szCs w:val="24"/>
          <w:u w:val="none"/>
          <w:lang w:val="en-US" w:eastAsia="zh-CN" w:bidi="ar-SA"/>
        </w:rPr>
      </w:pPr>
      <w:bookmarkStart w:id="113" w:name="_Toc18986"/>
      <w:bookmarkStart w:id="114" w:name="_Toc16823"/>
      <w:bookmarkStart w:id="115" w:name="_Toc15729"/>
      <w:r>
        <w:rPr>
          <w:rFonts w:hint="eastAsia" w:ascii="Times New Roman" w:hAnsi="Times New Roman" w:eastAsia="宋体" w:cs="Times New Roman"/>
          <w:b w:val="0"/>
          <w:bCs w:val="0"/>
          <w:sz w:val="24"/>
          <w:szCs w:val="22"/>
          <w:u w:val="none"/>
        </w:rPr>
        <w:t>本课程是一门专业基础课程，是一</w:t>
      </w:r>
      <w:r>
        <w:rPr>
          <w:rFonts w:hint="eastAsia" w:eastAsia="宋体"/>
          <w:b w:val="0"/>
          <w:bCs w:val="0"/>
          <w:sz w:val="24"/>
          <w:szCs w:val="22"/>
          <w:u w:val="none"/>
        </w:rPr>
        <w:t>门研究建筑施工过程中主要分部及子分部工程的施工技术、工艺和施工组织方法学科。该课程主要介绍土方工程、基础与桩基工程、砌筑工程、钢筋混凝土结构工程、预应力混凝土工程、结构安装工程等内容。要求学生能根据施工图纸和施工实际条件，选择和制定常规工程合理的施工方案；能根据施工图纸和施工实际条件，查找资料和完成施工中遇到的一些必要计算；能根据施工图纸和施工实际条件，编写一般建筑工程施工技术交底；能根据建筑工程质量验收方法及验收规范进行常规工程的质量检验。</w:t>
      </w:r>
      <w:bookmarkEnd w:id="113"/>
      <w:r>
        <w:rPr>
          <w:rFonts w:hint="eastAsia" w:ascii="宋体" w:hAnsi="宋体" w:eastAsia="宋体" w:cs="Times New Roman"/>
          <w:b w:val="0"/>
          <w:bCs w:val="0"/>
          <w:kern w:val="2"/>
          <w:sz w:val="24"/>
          <w:szCs w:val="24"/>
          <w:u w:val="none"/>
          <w:lang w:val="en-US" w:eastAsia="zh-CN" w:bidi="ar-SA"/>
        </w:rPr>
        <w:t>该课程还能培育学生良好的职业素养和职业精神，树立学生民族自豪感，培育学生大国“工匠精神”。</w:t>
      </w:r>
      <w:bookmarkEnd w:id="114"/>
    </w:p>
    <w:p>
      <w:pPr>
        <w:pStyle w:val="7"/>
        <w:numPr>
          <w:ilvl w:val="0"/>
          <w:numId w:val="0"/>
        </w:numPr>
        <w:spacing w:before="0" w:beforeAutospacing="0" w:after="0" w:afterAutospacing="0"/>
        <w:ind w:left="420" w:leftChars="0"/>
        <w:rPr>
          <w:rFonts w:ascii="宋体" w:hAnsi="宋体" w:eastAsia="宋体"/>
          <w:szCs w:val="24"/>
          <w:u w:val="none"/>
          <w:lang w:val="en-US" w:eastAsia="zh-CN"/>
        </w:rPr>
      </w:pPr>
      <w:r>
        <w:rPr>
          <w:rFonts w:hint="eastAsia" w:ascii="宋体" w:hAnsi="宋体" w:eastAsia="宋体"/>
          <w:szCs w:val="24"/>
          <w:u w:val="none"/>
          <w:lang w:val="en-US" w:eastAsia="zh-CN"/>
        </w:rPr>
        <w:t>（11）统计基础</w:t>
      </w:r>
    </w:p>
    <w:p>
      <w:pPr>
        <w:pStyle w:val="7"/>
        <w:spacing w:before="0" w:beforeAutospacing="0" w:after="0" w:afterAutospacing="0"/>
        <w:ind w:firstLineChars="0"/>
        <w:rPr>
          <w:rFonts w:hint="eastAsia" w:ascii="宋体" w:hAnsi="宋体" w:eastAsia="宋体" w:cs="Times New Roman"/>
          <w:kern w:val="2"/>
          <w:sz w:val="24"/>
          <w:szCs w:val="24"/>
          <w:u w:val="none"/>
          <w:lang w:val="en-US" w:eastAsia="zh-CN" w:bidi="ar-SA"/>
        </w:rPr>
      </w:pPr>
      <w:r>
        <w:rPr>
          <w:rFonts w:hint="eastAsia" w:ascii="宋体" w:hAnsi="宋体" w:eastAsia="宋体" w:cs="Times New Roman"/>
          <w:szCs w:val="24"/>
          <w:u w:val="none"/>
          <w:lang w:val="en-US" w:eastAsia="zh-CN"/>
        </w:rPr>
        <w:t>本课程是一门专业基础课程。该课</w:t>
      </w:r>
      <w:r>
        <w:rPr>
          <w:rFonts w:hint="eastAsia" w:ascii="宋体" w:hAnsi="宋体" w:eastAsia="宋体"/>
          <w:szCs w:val="24"/>
          <w:u w:val="none"/>
          <w:lang w:val="en-US" w:eastAsia="zh-CN"/>
        </w:rPr>
        <w:t>程旨在培养学生各种统计方法和工具的应用，让对物流企业及相关业务能够用统计方法进行调研、预测、控制、执行。主要内容包统计记录、基本单位与基本情况记录、统计编码知识、传票法汇总、统计图和绘制和审视等。课程采用启发式、探究式、讨论式、参与式等教学方法。</w:t>
      </w:r>
      <w:r>
        <w:rPr>
          <w:rFonts w:hint="eastAsia" w:ascii="宋体" w:hAnsi="宋体" w:eastAsia="宋体" w:cs="Times New Roman"/>
          <w:kern w:val="2"/>
          <w:sz w:val="24"/>
          <w:szCs w:val="24"/>
          <w:u w:val="none"/>
          <w:lang w:val="en-US" w:eastAsia="zh-CN" w:bidi="ar-SA"/>
        </w:rPr>
        <w:t>本课程是学生参加市场调查与预测大赛的基础课程，培养了学生统计分析的素质和能力，提升学生对待数据的严谨分析能力和职业素质。</w:t>
      </w:r>
    </w:p>
    <w:p>
      <w:pPr>
        <w:adjustRightInd w:val="0"/>
        <w:snapToGrid w:val="0"/>
        <w:ind w:firstLine="482"/>
        <w:outlineLvl w:val="2"/>
        <w:rPr>
          <w:rFonts w:hint="eastAsia" w:ascii="楷体" w:hAnsi="楷体" w:eastAsia="楷体" w:cs="楷体"/>
          <w:b/>
          <w:bCs/>
          <w:szCs w:val="24"/>
          <w:u w:val="none"/>
        </w:rPr>
      </w:pPr>
      <w:bookmarkStart w:id="116" w:name="_Toc30023"/>
      <w:r>
        <w:rPr>
          <w:rFonts w:hint="eastAsia" w:ascii="楷体" w:hAnsi="楷体" w:eastAsia="楷体" w:cs="楷体"/>
          <w:b/>
          <w:bCs/>
          <w:szCs w:val="24"/>
          <w:u w:val="none"/>
        </w:rPr>
        <w:t>3.专业核心课程</w:t>
      </w:r>
      <w:bookmarkEnd w:id="115"/>
      <w:bookmarkEnd w:id="116"/>
    </w:p>
    <w:p>
      <w:pPr>
        <w:pStyle w:val="7"/>
        <w:adjustRightInd w:val="0"/>
        <w:snapToGrid w:val="0"/>
        <w:spacing w:before="0" w:beforeAutospacing="0" w:after="0" w:afterAutospacing="0"/>
        <w:rPr>
          <w:rFonts w:hint="eastAsia" w:ascii="宋体" w:hAnsi="宋体" w:eastAsia="宋体"/>
          <w:szCs w:val="24"/>
          <w:u w:val="none"/>
        </w:rPr>
      </w:pPr>
      <w:bookmarkStart w:id="117" w:name="_Toc9052"/>
      <w:r>
        <w:rPr>
          <w:rFonts w:hint="eastAsia" w:ascii="宋体" w:hAnsi="宋体" w:eastAsia="宋体"/>
          <w:szCs w:val="24"/>
          <w:u w:val="none"/>
        </w:rPr>
        <w:t>（1）混凝土结构施工图平法识图</w:t>
      </w:r>
      <w:bookmarkEnd w:id="117"/>
    </w:p>
    <w:p>
      <w:pPr>
        <w:pStyle w:val="7"/>
        <w:adjustRightInd w:val="0"/>
        <w:snapToGrid w:val="0"/>
        <w:spacing w:before="0" w:beforeAutospacing="0" w:after="0" w:afterAutospacing="0"/>
        <w:rPr>
          <w:rFonts w:hint="eastAsia" w:ascii="宋体" w:hAnsi="宋体" w:eastAsia="宋体" w:cs="宋体"/>
          <w:u w:val="none"/>
        </w:rPr>
      </w:pPr>
      <w:bookmarkStart w:id="118" w:name="_Toc6861"/>
      <w:bookmarkStart w:id="119" w:name="_Toc20953"/>
      <w:bookmarkStart w:id="120" w:name="_Toc930"/>
      <w:r>
        <w:rPr>
          <w:rFonts w:hint="eastAsia" w:ascii="宋体" w:hAnsi="宋体" w:eastAsia="宋体" w:cs="宋体"/>
          <w:u w:val="none"/>
        </w:rPr>
        <w:t>本课程是一门专业核心课程，以16G101系列平法图集和现行相关规范为基础，对现浇混凝土结构平法施工图的识读进行了系统、全面的介绍，内容涉及现浇混凝土结构的柱、剪力墙、梁、板、楼梯的平法制图规则和标准配筋构造等，并配有典型的施工示例，内容</w:t>
      </w:r>
      <w:r>
        <w:rPr>
          <w:rFonts w:hint="eastAsia" w:ascii="宋体" w:hAnsi="宋体" w:eastAsia="宋体" w:cs="宋体"/>
          <w:u w:val="none"/>
          <w:lang w:eastAsia="zh-CN"/>
        </w:rPr>
        <w:t>详</w:t>
      </w:r>
      <w:r>
        <w:rPr>
          <w:rFonts w:hint="eastAsia" w:ascii="宋体" w:hAnsi="宋体" w:eastAsia="宋体" w:cs="宋体"/>
          <w:u w:val="none"/>
        </w:rPr>
        <w:t>实，针对性和可操作性强。</w:t>
      </w:r>
      <w:bookmarkEnd w:id="118"/>
      <w:bookmarkStart w:id="121" w:name="_Toc16275"/>
      <w:r>
        <w:rPr>
          <w:rFonts w:hint="eastAsia" w:ascii="宋体" w:hAnsi="宋体" w:eastAsia="宋体" w:cs="Times New Roman"/>
          <w:kern w:val="2"/>
          <w:sz w:val="24"/>
          <w:szCs w:val="24"/>
          <w:u w:val="none"/>
          <w:lang w:val="en-US" w:eastAsia="zh-CN" w:bidi="ar-SA"/>
        </w:rPr>
        <w:t>通过该课程的学习，力求使学生熟练掌握平法技术，并正确理解和识读平法施工图。</w:t>
      </w:r>
      <w:bookmarkEnd w:id="121"/>
      <w:r>
        <w:rPr>
          <w:rFonts w:hint="eastAsia" w:ascii="宋体" w:hAnsi="宋体" w:eastAsia="宋体" w:cs="Times New Roman"/>
          <w:kern w:val="2"/>
          <w:sz w:val="24"/>
          <w:szCs w:val="24"/>
          <w:u w:val="none"/>
          <w:lang w:val="en-US" w:eastAsia="zh-CN" w:bidi="ar-SA"/>
        </w:rPr>
        <w:t>该课程还能培育学生良好的职业素养和职业精神，树立学生民族自豪感，培育学生大国“工匠精神”。</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（2）工程经济学</w:t>
      </w:r>
      <w:bookmarkEnd w:id="119"/>
    </w:p>
    <w:p>
      <w:pPr>
        <w:pStyle w:val="7"/>
        <w:adjustRightInd w:val="0"/>
        <w:snapToGrid w:val="0"/>
        <w:spacing w:before="0" w:beforeAutospacing="0" w:after="0" w:afterAutospacing="0"/>
        <w:rPr>
          <w:rFonts w:hint="eastAsia" w:ascii="宋体" w:hAnsi="宋体" w:eastAsia="宋体" w:cs="Times New Roman"/>
          <w:kern w:val="2"/>
          <w:sz w:val="24"/>
          <w:szCs w:val="24"/>
          <w:u w:val="none"/>
          <w:lang w:val="en-US" w:eastAsia="zh-CN" w:bidi="ar-SA"/>
        </w:rPr>
      </w:pPr>
      <w:bookmarkStart w:id="122" w:name="_Toc6539"/>
      <w:r>
        <w:rPr>
          <w:rFonts w:hint="eastAsia" w:ascii="宋体" w:hAnsi="宋体" w:eastAsia="宋体" w:cs="宋体"/>
          <w:u w:val="none"/>
        </w:rPr>
        <w:t>本课程是一门专业核心课程</w:t>
      </w:r>
      <w:r>
        <w:rPr>
          <w:rFonts w:hint="eastAsia" w:ascii="宋体" w:hAnsi="宋体" w:eastAsia="宋体"/>
          <w:szCs w:val="24"/>
          <w:u w:val="none"/>
        </w:rPr>
        <w:t>，主要内容包括房地产经济学的基础理论、房地产市场及其供求、房地产价格、房地产企业、房地产投资和房地产融资，以及房地产经济周期、房地产经济的宏观调控和房地产经济的可持续发展问题等问题。通过学习，要求学生熟悉房地产经济运行的特殊规律，例如，土地区位分布规律、城市地租规律、房地产价格规律、房地产市场供求规律和房地产经济波动规律等。</w:t>
      </w:r>
      <w:bookmarkEnd w:id="122"/>
      <w:r>
        <w:rPr>
          <w:rFonts w:hint="eastAsia" w:ascii="宋体" w:hAnsi="宋体" w:eastAsia="宋体" w:cs="Times New Roman"/>
          <w:kern w:val="2"/>
          <w:sz w:val="24"/>
          <w:szCs w:val="24"/>
          <w:u w:val="none"/>
          <w:lang w:val="en-US" w:eastAsia="zh-CN" w:bidi="ar-SA"/>
        </w:rPr>
        <w:t>该课程培养学生的认真负责的职业精神，提升学生职业道德和职业素养。</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（3）工程造价信息化</w:t>
      </w:r>
      <w:bookmarkEnd w:id="120"/>
    </w:p>
    <w:p>
      <w:pPr>
        <w:adjustRightInd w:val="0"/>
        <w:snapToGrid w:val="0"/>
        <w:ind w:firstLine="480"/>
        <w:rPr>
          <w:rFonts w:hint="eastAsia" w:ascii="宋体" w:hAnsi="宋体"/>
          <w:szCs w:val="24"/>
          <w:u w:val="none"/>
        </w:rPr>
      </w:pPr>
      <w:bookmarkStart w:id="123" w:name="_Toc23705"/>
      <w:r>
        <w:rPr>
          <w:rFonts w:hint="eastAsia"/>
          <w:u w:val="none"/>
        </w:rPr>
        <w:t>本课程是一门专业核心课程，旨在培养学能够通过BIM技术进行工程造价，加强学生造价软件应用能力的培养。</w:t>
      </w:r>
      <w:bookmarkEnd w:id="123"/>
      <w:bookmarkStart w:id="124" w:name="_Toc19070"/>
      <w:r>
        <w:rPr>
          <w:rFonts w:hint="eastAsia"/>
          <w:u w:val="none"/>
        </w:rPr>
        <w:t>该课程主要通过基于BIM技术模拟从项目招投标阶段-项目准备阶段-项目实施阶段-竣工阶段的整个施工阶段的应用，介绍广联达、品茗或斯维尔的土建和安装算量及计价软件，主要使学生掌握功能及操作技能，让学生掌握软件应用的方法，并结合实际项目案例，让学生提高利用软件在实际工作中的应用能力。使学生具有从事工程项目建设活动的基本管理知识，具备解决一般工程造价问题的能力。本课程主要采用项目教学、案例教学、模块化教学等教学方式，运用探究式、讨论式、参与式等教学方法，应用理实一体教学的教学模式。</w:t>
      </w:r>
      <w:bookmarkEnd w:id="124"/>
      <w:r>
        <w:rPr>
          <w:rFonts w:hint="eastAsia" w:ascii="宋体" w:hAnsi="宋体" w:eastAsia="宋体" w:cs="Times New Roman"/>
          <w:szCs w:val="24"/>
          <w:u w:val="none"/>
        </w:rPr>
        <w:t>该课程还能培养强烈的社会责任感和严谨的工作作风，培育学生的新时代劳动精神和创新精神。</w:t>
      </w:r>
    </w:p>
    <w:p>
      <w:pPr>
        <w:pStyle w:val="7"/>
        <w:adjustRightInd w:val="0"/>
        <w:snapToGrid w:val="0"/>
        <w:spacing w:before="0" w:beforeAutospacing="0" w:after="0" w:afterAutospacing="0"/>
        <w:rPr>
          <w:rFonts w:hint="eastAsia" w:ascii="宋体" w:hAnsi="宋体" w:eastAsia="宋体"/>
          <w:szCs w:val="24"/>
          <w:u w:val="none"/>
        </w:rPr>
      </w:pPr>
      <w:bookmarkStart w:id="125" w:name="_Toc8612"/>
      <w:r>
        <w:rPr>
          <w:rFonts w:hint="eastAsia" w:ascii="宋体" w:hAnsi="宋体" w:eastAsia="宋体"/>
          <w:szCs w:val="24"/>
          <w:u w:val="none"/>
        </w:rPr>
        <w:t>（4）工程项目管理</w:t>
      </w:r>
      <w:bookmarkEnd w:id="125"/>
    </w:p>
    <w:p>
      <w:pPr>
        <w:pStyle w:val="7"/>
        <w:adjustRightInd w:val="0"/>
        <w:snapToGrid w:val="0"/>
        <w:spacing w:before="0" w:beforeAutospacing="0" w:after="0" w:afterAutospacing="0"/>
        <w:rPr>
          <w:rFonts w:hint="eastAsia" w:ascii="宋体" w:hAnsi="宋体" w:eastAsia="宋体" w:cs="Times New Roman"/>
          <w:kern w:val="2"/>
          <w:sz w:val="24"/>
          <w:szCs w:val="24"/>
          <w:u w:val="none"/>
          <w:lang w:val="en-US" w:eastAsia="zh-CN" w:bidi="ar-SA"/>
        </w:rPr>
      </w:pPr>
      <w:bookmarkStart w:id="126" w:name="_Toc22564"/>
      <w:bookmarkStart w:id="127" w:name="_Toc25982"/>
      <w:r>
        <w:rPr>
          <w:rFonts w:hint="eastAsia" w:ascii="宋体" w:hAnsi="宋体" w:eastAsia="宋体" w:cs="宋体"/>
          <w:u w:val="none"/>
        </w:rPr>
        <w:t>本课程是一门专业核心课程，是由技术科学、经济学与管理学等相互融合渗透而形成的一门综合性科学，具有理论面宽、实践性强、政策性要求高等特点。它的基本任务是研究工程项目及其建设的基本经济规律，工程项目经济效果的分析原理和方法，建设投资的决策，工程项目管理的基本理论及方法等。通过本课程的学习，为学生补充从事技术工作所需的经济管理知识。可使学生树立正确的经济观点，掌握必要的技术经济分析方法，学会工程项目管理的基本原理与方法论，并对工程建设具有初步的科学管理能力，使学生在大学期间所学到的科学技术知识，能够更好地转化为实际生产力，适应市场经济的需要。</w:t>
      </w:r>
      <w:bookmarkEnd w:id="126"/>
      <w:r>
        <w:rPr>
          <w:rFonts w:hint="eastAsia" w:ascii="宋体" w:hAnsi="宋体" w:eastAsia="宋体" w:cs="Times New Roman"/>
          <w:kern w:val="2"/>
          <w:sz w:val="24"/>
          <w:szCs w:val="24"/>
          <w:u w:val="none"/>
          <w:lang w:val="en-US" w:eastAsia="zh-CN" w:bidi="ar-SA"/>
        </w:rPr>
        <w:t>该课程还能培育学生良好的职业素养和职业精神，树立学生民族自豪感，培育学生大国“工匠精神”。</w:t>
      </w:r>
    </w:p>
    <w:p>
      <w:pPr>
        <w:pStyle w:val="7"/>
        <w:adjustRightInd w:val="0"/>
        <w:snapToGrid w:val="0"/>
        <w:spacing w:before="0" w:beforeAutospacing="0" w:after="0" w:afterAutospacing="0"/>
        <w:rPr>
          <w:rFonts w:hint="eastAsia" w:ascii="宋体" w:hAnsi="宋体" w:eastAsia="宋体"/>
          <w:szCs w:val="24"/>
          <w:u w:val="none"/>
        </w:rPr>
      </w:pPr>
      <w:r>
        <w:rPr>
          <w:rFonts w:hint="eastAsia" w:ascii="宋体" w:hAnsi="宋体" w:eastAsia="宋体"/>
          <w:szCs w:val="24"/>
          <w:u w:val="none"/>
        </w:rPr>
        <w:t>（5）建筑工程计量与计价</w:t>
      </w:r>
      <w:bookmarkEnd w:id="127"/>
    </w:p>
    <w:p>
      <w:pPr>
        <w:pStyle w:val="7"/>
        <w:adjustRightInd w:val="0"/>
        <w:snapToGrid w:val="0"/>
        <w:spacing w:before="0" w:beforeAutospacing="0" w:after="0" w:afterAutospacing="0"/>
        <w:rPr>
          <w:rFonts w:hint="eastAsia" w:ascii="宋体" w:hAnsi="宋体" w:eastAsia="宋体" w:cs="Times New Roman"/>
          <w:kern w:val="2"/>
          <w:sz w:val="24"/>
          <w:szCs w:val="24"/>
          <w:u w:val="none"/>
          <w:lang w:val="en-US" w:eastAsia="zh-CN" w:bidi="ar-SA"/>
        </w:rPr>
      </w:pPr>
      <w:r>
        <w:rPr>
          <w:rFonts w:hint="eastAsia" w:ascii="宋体" w:hAnsi="宋体" w:eastAsia="宋体" w:cs="宋体"/>
          <w:u w:val="none"/>
        </w:rPr>
        <w:t>本课程是一门专业核心课程，是针对高职高专工程造价专业及其他相关专业开设的专业核心课程。主要介绍定额的原理，工程造价的构成及工程计价理论和方法。通过对本课程的学习，学生要熟练掌握建筑工程量清单计量与计价的方法，能准确计算清单工程量，具备编制单位工程投标报价、工程预结算的能力，同时注重培养学生的职业素质、学习能力和职业岗位工作能力。</w:t>
      </w:r>
      <w:r>
        <w:rPr>
          <w:rFonts w:hint="eastAsia" w:ascii="宋体" w:hAnsi="宋体" w:eastAsia="宋体" w:cs="Times New Roman"/>
          <w:kern w:val="2"/>
          <w:sz w:val="24"/>
          <w:szCs w:val="24"/>
          <w:u w:val="none"/>
          <w:lang w:val="en-US" w:eastAsia="zh-CN" w:bidi="ar-SA"/>
        </w:rPr>
        <w:t>该课程将专业知识、专业技能的教学融汇在对学生爱国主义的引领，对学生工匠精神的养成有非常好的实践价值。</w:t>
      </w:r>
    </w:p>
    <w:p>
      <w:pPr>
        <w:pStyle w:val="7"/>
        <w:adjustRightInd w:val="0"/>
        <w:snapToGrid w:val="0"/>
        <w:spacing w:before="0" w:beforeAutospacing="0" w:after="0" w:afterAutospacing="0"/>
        <w:rPr>
          <w:rFonts w:hint="eastAsia" w:ascii="宋体" w:hAnsi="宋体" w:eastAsia="宋体"/>
          <w:szCs w:val="24"/>
          <w:u w:val="none"/>
        </w:rPr>
      </w:pPr>
      <w:bookmarkStart w:id="128" w:name="_Toc17144"/>
      <w:r>
        <w:rPr>
          <w:rFonts w:hint="eastAsia" w:ascii="宋体" w:hAnsi="宋体" w:eastAsia="宋体"/>
          <w:szCs w:val="24"/>
          <w:u w:val="none"/>
        </w:rPr>
        <w:t>（6）建设工程造价管理与投资审计</w:t>
      </w:r>
      <w:bookmarkEnd w:id="128"/>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Times New Roman"/>
          <w:szCs w:val="24"/>
          <w:u w:val="none"/>
        </w:rPr>
      </w:pPr>
      <w:r>
        <w:rPr>
          <w:rFonts w:hint="eastAsia" w:ascii="宋体" w:hAnsi="宋体"/>
          <w:szCs w:val="24"/>
          <w:u w:val="none"/>
        </w:rPr>
        <w:t>本课程是一门专业核心课程，主要介绍工程造价的构成、设计预算、施工图预算、工程的变更、索赔、工程量清单报价、建筑工程的结算、固定资产投资审计的理论与方法、全过程审计与后评估等。通过对本课程的学习，学生要掌握在建设工程的各个阶段进行工程造价的确定与控制的基本原理和方法，具备从事工程造价全过程管理、全面管理的基本能力，进一步提升学生独立分析问题和解决工程造价管理实际问题的能力。</w:t>
      </w:r>
      <w:r>
        <w:rPr>
          <w:rFonts w:hint="eastAsia" w:ascii="宋体" w:hAnsi="宋体" w:eastAsia="宋体" w:cs="Times New Roman"/>
          <w:szCs w:val="24"/>
          <w:u w:val="none"/>
        </w:rPr>
        <w:t>该课程不仅要给学生传授造价管理和投资审计的知识技能，在学生价值观的培育和塑造以及遵纪守法意识的培养方面也具有不可推卸的责任。</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firstLine="482"/>
        <w:textAlignment w:val="auto"/>
        <w:outlineLvl w:val="2"/>
        <w:rPr>
          <w:rFonts w:hint="eastAsia" w:ascii="楷体" w:hAnsi="楷体" w:eastAsia="楷体" w:cs="楷体"/>
          <w:b/>
          <w:bCs/>
          <w:kern w:val="2"/>
          <w:sz w:val="24"/>
          <w:szCs w:val="24"/>
          <w:u w:val="none"/>
          <w:lang w:val="en-US" w:eastAsia="zh-CN" w:bidi="ar-SA"/>
        </w:rPr>
      </w:pPr>
      <w:bookmarkStart w:id="129" w:name="_Toc3580"/>
      <w:bookmarkStart w:id="130" w:name="_Toc11170"/>
      <w:r>
        <w:rPr>
          <w:rFonts w:hint="eastAsia" w:ascii="楷体" w:hAnsi="楷体" w:eastAsia="楷体" w:cs="楷体"/>
          <w:b/>
          <w:bCs/>
          <w:kern w:val="2"/>
          <w:sz w:val="24"/>
          <w:szCs w:val="24"/>
          <w:u w:val="none"/>
          <w:lang w:val="en-US" w:eastAsia="zh-CN" w:bidi="ar-SA"/>
        </w:rPr>
        <w:t>4.专业实践课程</w:t>
      </w:r>
      <w:bookmarkEnd w:id="129"/>
      <w:bookmarkEnd w:id="130"/>
    </w:p>
    <w:p>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u w:val="none"/>
        </w:rPr>
      </w:pPr>
      <w:r>
        <w:rPr>
          <w:rFonts w:hint="eastAsia"/>
          <w:u w:val="none"/>
        </w:rPr>
        <w:t>本专业实践</w:t>
      </w:r>
      <w:r>
        <w:rPr>
          <w:u w:val="none"/>
        </w:rPr>
        <w:t>课程及其相关</w:t>
      </w:r>
      <w:r>
        <w:rPr>
          <w:rFonts w:hint="eastAsia"/>
          <w:u w:val="none"/>
        </w:rPr>
        <w:t>内容和</w:t>
      </w:r>
      <w:r>
        <w:rPr>
          <w:u w:val="none"/>
        </w:rPr>
        <w:t>要求见表</w:t>
      </w:r>
      <w:r>
        <w:rPr>
          <w:rFonts w:hint="eastAsia"/>
          <w:u w:val="none"/>
        </w:rPr>
        <w:t>6</w:t>
      </w:r>
      <w:r>
        <w:rPr>
          <w:u w:val="none"/>
        </w:rPr>
        <w:t>-</w:t>
      </w:r>
      <w:r>
        <w:rPr>
          <w:rFonts w:hint="eastAsia"/>
          <w:u w:val="none"/>
        </w:rPr>
        <w:t>2。</w:t>
      </w:r>
    </w:p>
    <w:p>
      <w:pPr>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b/>
          <w:sz w:val="21"/>
          <w:szCs w:val="21"/>
          <w:u w:val="none"/>
        </w:rPr>
      </w:pPr>
      <w:r>
        <w:rPr>
          <w:rFonts w:hint="eastAsia" w:ascii="黑体" w:hAnsi="黑体" w:eastAsia="黑体"/>
          <w:b/>
          <w:sz w:val="21"/>
          <w:szCs w:val="21"/>
          <w:u w:val="none"/>
        </w:rPr>
        <w:t>表6</w:t>
      </w:r>
      <w:r>
        <w:rPr>
          <w:rFonts w:ascii="黑体" w:hAnsi="黑体" w:eastAsia="黑体"/>
          <w:b/>
          <w:sz w:val="21"/>
          <w:szCs w:val="21"/>
          <w:u w:val="none"/>
        </w:rPr>
        <w:t>-</w:t>
      </w:r>
      <w:r>
        <w:rPr>
          <w:rFonts w:hint="eastAsia" w:ascii="黑体" w:hAnsi="黑体" w:eastAsia="黑体"/>
          <w:b/>
          <w:sz w:val="21"/>
          <w:szCs w:val="21"/>
          <w:u w:val="none"/>
        </w:rPr>
        <w:t>2</w:t>
      </w:r>
      <w:r>
        <w:rPr>
          <w:rFonts w:ascii="黑体" w:hAnsi="黑体" w:eastAsia="黑体"/>
          <w:b/>
          <w:sz w:val="21"/>
          <w:szCs w:val="21"/>
          <w:u w:val="none"/>
        </w:rPr>
        <w:t xml:space="preserve"> </w:t>
      </w:r>
      <w:r>
        <w:rPr>
          <w:rFonts w:hint="eastAsia" w:ascii="黑体" w:hAnsi="黑体" w:eastAsia="黑体"/>
          <w:b/>
          <w:sz w:val="21"/>
          <w:szCs w:val="21"/>
          <w:u w:val="none"/>
        </w:rPr>
        <w:t xml:space="preserve"> 专业</w:t>
      </w:r>
      <w:r>
        <w:rPr>
          <w:rFonts w:ascii="黑体" w:hAnsi="黑体" w:eastAsia="黑体"/>
          <w:b/>
          <w:sz w:val="21"/>
          <w:szCs w:val="21"/>
          <w:u w:val="none"/>
        </w:rPr>
        <w:t>实践课程</w:t>
      </w:r>
      <w:r>
        <w:rPr>
          <w:rFonts w:hint="eastAsia" w:ascii="黑体" w:hAnsi="黑体" w:eastAsia="黑体"/>
          <w:b/>
          <w:sz w:val="21"/>
          <w:szCs w:val="21"/>
          <w:u w:val="none"/>
        </w:rPr>
        <w:t>及其</w:t>
      </w:r>
      <w:r>
        <w:rPr>
          <w:rFonts w:ascii="黑体" w:hAnsi="黑体" w:eastAsia="黑体"/>
          <w:b/>
          <w:sz w:val="21"/>
          <w:szCs w:val="21"/>
          <w:u w:val="none"/>
        </w:rPr>
        <w:t>基本</w:t>
      </w:r>
      <w:r>
        <w:rPr>
          <w:rFonts w:hint="eastAsia" w:ascii="黑体" w:hAnsi="黑体" w:eastAsia="黑体"/>
          <w:b/>
          <w:sz w:val="21"/>
          <w:szCs w:val="21"/>
          <w:u w:val="none"/>
        </w:rPr>
        <w:t>内容</w:t>
      </w:r>
    </w:p>
    <w:tbl>
      <w:tblPr>
        <w:tblStyle w:val="18"/>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blHeader/>
          <w:jc w:val="center"/>
        </w:trPr>
        <w:tc>
          <w:tcPr>
            <w:tcW w:w="1543" w:type="dxa"/>
            <w:noWrap w:val="0"/>
            <w:vAlign w:val="center"/>
          </w:tcPr>
          <w:p>
            <w:pPr>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专业实践课程</w:t>
            </w:r>
          </w:p>
        </w:tc>
        <w:tc>
          <w:tcPr>
            <w:tcW w:w="7587" w:type="dxa"/>
            <w:noWrap w:val="0"/>
            <w:vAlign w:val="center"/>
          </w:tcPr>
          <w:p>
            <w:pPr>
              <w:spacing w:line="240" w:lineRule="auto"/>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基本内容和要求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543"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信息技术应用实训</w:t>
            </w:r>
          </w:p>
        </w:tc>
        <w:tc>
          <w:tcPr>
            <w:tcW w:w="7587" w:type="dxa"/>
            <w:noWrap w:val="0"/>
            <w:vAlign w:val="center"/>
          </w:tcPr>
          <w:p>
            <w:pPr>
              <w:spacing w:line="240" w:lineRule="auto"/>
              <w:ind w:left="-2" w:leftChars="-1" w:firstLine="420"/>
              <w:jc w:val="left"/>
              <w:rPr>
                <w:rFonts w:hint="eastAsia" w:ascii="仿宋" w:hAnsi="仿宋" w:eastAsia="仿宋" w:cs="仿宋"/>
                <w:sz w:val="21"/>
                <w:szCs w:val="21"/>
                <w:u w:val="none"/>
              </w:rPr>
            </w:pPr>
            <w:r>
              <w:rPr>
                <w:rFonts w:hint="eastAsia" w:ascii="仿宋" w:hAnsi="仿宋" w:eastAsia="仿宋" w:cs="仿宋"/>
                <w:sz w:val="21"/>
                <w:szCs w:val="21"/>
                <w:u w:val="none"/>
              </w:rPr>
              <w:t>Windows操作系统应用练习、文字处理软件的使用练习和Excel操作练习等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543"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建筑、设备认识实习</w:t>
            </w:r>
          </w:p>
        </w:tc>
        <w:tc>
          <w:tcPr>
            <w:tcW w:w="7587" w:type="dxa"/>
            <w:noWrap w:val="0"/>
            <w:vAlign w:val="center"/>
          </w:tcPr>
          <w:p>
            <w:pPr>
              <w:spacing w:line="240" w:lineRule="auto"/>
              <w:ind w:left="-2" w:leftChars="-1" w:firstLine="420"/>
              <w:jc w:val="left"/>
              <w:rPr>
                <w:rFonts w:hint="eastAsia" w:ascii="仿宋" w:hAnsi="仿宋" w:eastAsia="仿宋" w:cs="仿宋"/>
                <w:sz w:val="21"/>
                <w:szCs w:val="21"/>
                <w:u w:val="none"/>
              </w:rPr>
            </w:pPr>
            <w:r>
              <w:rPr>
                <w:rFonts w:hint="eastAsia" w:ascii="仿宋" w:hAnsi="仿宋" w:eastAsia="仿宋" w:cs="仿宋"/>
                <w:sz w:val="21"/>
                <w:szCs w:val="21"/>
                <w:u w:val="none"/>
              </w:rPr>
              <w:t>通过参观在建建筑工程，了解建筑、结构、水、电、暖设计及施工的基本知识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543"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建筑工程BIM识图与构造实训</w:t>
            </w:r>
          </w:p>
        </w:tc>
        <w:tc>
          <w:tcPr>
            <w:tcW w:w="7587" w:type="dxa"/>
            <w:noWrap w:val="0"/>
            <w:vAlign w:val="center"/>
          </w:tcPr>
          <w:p>
            <w:pPr>
              <w:spacing w:line="240" w:lineRule="auto"/>
              <w:ind w:left="-2" w:leftChars="-1" w:firstLine="420"/>
              <w:jc w:val="left"/>
              <w:rPr>
                <w:rFonts w:hint="eastAsia" w:ascii="仿宋" w:hAnsi="仿宋" w:eastAsia="仿宋" w:cs="仿宋"/>
                <w:sz w:val="21"/>
                <w:szCs w:val="21"/>
                <w:u w:val="none"/>
              </w:rPr>
            </w:pPr>
            <w:r>
              <w:rPr>
                <w:rFonts w:hint="eastAsia" w:ascii="仿宋" w:hAnsi="仿宋" w:eastAsia="仿宋" w:cs="仿宋"/>
                <w:sz w:val="21"/>
                <w:szCs w:val="21"/>
                <w:u w:val="none"/>
              </w:rPr>
              <w:t>培养学生应用CAD识读专业图的能力，通过实训，要求准确识读建筑施工图、结构施工图、建筑设备施工图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1543" w:type="dxa"/>
            <w:noWrap w:val="0"/>
            <w:vAlign w:val="center"/>
          </w:tcPr>
          <w:p>
            <w:pPr>
              <w:spacing w:line="240" w:lineRule="auto"/>
              <w:ind w:left="-2" w:leftChars="-1"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工程建模专项技能实训</w:t>
            </w:r>
          </w:p>
        </w:tc>
        <w:tc>
          <w:tcPr>
            <w:tcW w:w="7587" w:type="dxa"/>
            <w:noWrap w:val="0"/>
            <w:vAlign w:val="center"/>
          </w:tcPr>
          <w:p>
            <w:pPr>
              <w:spacing w:line="240" w:lineRule="auto"/>
              <w:ind w:left="-2" w:leftChars="-1" w:firstLine="420"/>
              <w:jc w:val="left"/>
              <w:rPr>
                <w:rFonts w:hint="eastAsia" w:ascii="仿宋" w:hAnsi="仿宋" w:eastAsia="仿宋" w:cs="仿宋"/>
                <w:sz w:val="21"/>
                <w:szCs w:val="21"/>
                <w:u w:val="none"/>
              </w:rPr>
            </w:pPr>
            <w:r>
              <w:rPr>
                <w:rFonts w:hint="eastAsia" w:ascii="仿宋" w:hAnsi="仿宋" w:eastAsia="仿宋" w:cs="仿宋"/>
                <w:sz w:val="21"/>
                <w:szCs w:val="21"/>
                <w:u w:val="none"/>
              </w:rPr>
              <w:t>通过实训，要求掌握BIM软件两个模块，即：机电建模（电气、给排水、消防、通风），建筑建模（建筑、结构、二次结构、装修），模型优化（碰撞检查、净高分析、预留洞设置、支吊架排布）的使用，具有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1543"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BIM计量计价实训</w:t>
            </w:r>
          </w:p>
        </w:tc>
        <w:tc>
          <w:tcPr>
            <w:tcW w:w="7587" w:type="dxa"/>
            <w:noWrap w:val="0"/>
            <w:vAlign w:val="center"/>
          </w:tcPr>
          <w:p>
            <w:pPr>
              <w:spacing w:line="240" w:lineRule="auto"/>
              <w:ind w:left="-2" w:leftChars="-1" w:firstLine="420"/>
              <w:jc w:val="left"/>
              <w:rPr>
                <w:rFonts w:hint="eastAsia" w:ascii="仿宋" w:hAnsi="仿宋" w:eastAsia="仿宋" w:cs="仿宋"/>
                <w:sz w:val="21"/>
                <w:szCs w:val="21"/>
                <w:u w:val="none"/>
              </w:rPr>
            </w:pPr>
            <w:r>
              <w:rPr>
                <w:rFonts w:hint="eastAsia" w:ascii="仿宋" w:hAnsi="仿宋" w:eastAsia="仿宋" w:cs="仿宋"/>
                <w:sz w:val="21"/>
                <w:szCs w:val="21"/>
                <w:u w:val="none"/>
              </w:rPr>
              <w:t>系统的掌握基于BIM技术的工程造价文件的编制程序，熟悉建筑、装饰、安装工程计量计价的方法，了解各种计量计价表格的使用方法，掌握计价软件的应用。解决工程造价工作的实际操作问题，能够依据施工图纸完成选定分部分项工程内容的工程量计算，能够对给定内容的工程量进行相应的计价编制，具备应用计价软件进行取费的能力，最终能够完成建筑、装饰工程造价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543"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工程招投标模拟实训</w:t>
            </w:r>
          </w:p>
        </w:tc>
        <w:tc>
          <w:tcPr>
            <w:tcW w:w="7587" w:type="dxa"/>
            <w:noWrap w:val="0"/>
            <w:vAlign w:val="center"/>
          </w:tcPr>
          <w:p>
            <w:pPr>
              <w:spacing w:line="240" w:lineRule="auto"/>
              <w:ind w:left="-2" w:leftChars="-1" w:firstLine="420"/>
              <w:jc w:val="left"/>
              <w:rPr>
                <w:rFonts w:hint="eastAsia" w:ascii="仿宋" w:hAnsi="仿宋" w:eastAsia="仿宋" w:cs="仿宋"/>
                <w:sz w:val="21"/>
                <w:szCs w:val="21"/>
                <w:u w:val="none"/>
              </w:rPr>
            </w:pPr>
            <w:r>
              <w:rPr>
                <w:rFonts w:hint="eastAsia" w:ascii="仿宋" w:hAnsi="仿宋" w:eastAsia="仿宋" w:cs="仿宋"/>
                <w:sz w:val="21"/>
                <w:szCs w:val="21"/>
                <w:u w:val="none"/>
              </w:rPr>
              <w:t>招标、投标文件编制，熟悉招投标程序，按照招标文件的要求会进行项目的评标和定标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543"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毕业综合实训</w:t>
            </w:r>
          </w:p>
        </w:tc>
        <w:tc>
          <w:tcPr>
            <w:tcW w:w="7587" w:type="dxa"/>
            <w:noWrap w:val="0"/>
            <w:vAlign w:val="center"/>
          </w:tcPr>
          <w:p>
            <w:pPr>
              <w:spacing w:line="240" w:lineRule="auto"/>
              <w:ind w:left="-2" w:leftChars="-1" w:firstLine="0" w:firstLineChars="0"/>
              <w:jc w:val="left"/>
              <w:rPr>
                <w:rFonts w:hint="eastAsia" w:ascii="仿宋" w:hAnsi="仿宋" w:eastAsia="仿宋" w:cs="仿宋"/>
                <w:sz w:val="21"/>
                <w:szCs w:val="21"/>
                <w:u w:val="none"/>
              </w:rPr>
            </w:pPr>
            <w:r>
              <w:rPr>
                <w:rFonts w:hint="eastAsia" w:ascii="仿宋" w:hAnsi="仿宋" w:eastAsia="仿宋" w:cs="仿宋"/>
                <w:sz w:val="21"/>
                <w:szCs w:val="21"/>
                <w:u w:val="none"/>
              </w:rPr>
              <w:t xml:space="preserve">    通过毕业设计，使学生对所学的专业知识有一次较为全面、综合应用的机会，从而培养学生综合分析和解决问题的能力、组织管理和社交能力，培养学生独立工作的能力，为学生将来走上工作岗位，顺利完成所承担的任务奠定基础</w:t>
            </w:r>
          </w:p>
        </w:tc>
      </w:tr>
    </w:tbl>
    <w:p>
      <w:pPr>
        <w:ind w:firstLine="0" w:firstLineChars="0"/>
        <w:rPr>
          <w:rFonts w:hint="eastAsia" w:ascii="黑体" w:hAnsi="黑体" w:eastAsia="黑体" w:cs="黑体"/>
          <w:u w:val="none"/>
        </w:rPr>
      </w:pPr>
    </w:p>
    <w:p>
      <w:pPr>
        <w:pStyle w:val="3"/>
        <w:ind w:firstLine="0" w:firstLineChars="0"/>
        <w:rPr>
          <w:rFonts w:hint="eastAsia" w:ascii="黑体" w:hAnsi="黑体" w:cs="黑体"/>
          <w:u w:val="none"/>
        </w:rPr>
      </w:pPr>
      <w:r>
        <w:rPr>
          <w:rFonts w:hint="eastAsia" w:ascii="黑体" w:hAnsi="黑体" w:cs="黑体"/>
          <w:u w:val="none"/>
        </w:rPr>
        <w:br w:type="page"/>
      </w:r>
      <w:bookmarkStart w:id="131" w:name="_Toc31999"/>
      <w:bookmarkStart w:id="132" w:name="_Toc24069"/>
      <w:bookmarkStart w:id="133" w:name="_Toc23458"/>
      <w:bookmarkStart w:id="134" w:name="_Toc19022"/>
      <w:bookmarkStart w:id="135" w:name="_Toc2544"/>
      <w:r>
        <w:rPr>
          <w:rFonts w:hint="eastAsia" w:ascii="黑体" w:hAnsi="黑体" w:cs="黑体"/>
          <w:u w:val="none"/>
        </w:rPr>
        <w:t>七、教学进程总体安排</w:t>
      </w:r>
      <w:bookmarkEnd w:id="131"/>
      <w:bookmarkEnd w:id="132"/>
      <w:bookmarkEnd w:id="133"/>
      <w:bookmarkEnd w:id="134"/>
      <w:bookmarkEnd w:id="135"/>
    </w:p>
    <w:p>
      <w:pPr>
        <w:adjustRightInd w:val="0"/>
        <w:snapToGrid w:val="0"/>
        <w:ind w:firstLine="0" w:firstLineChars="0"/>
        <w:jc w:val="center"/>
        <w:rPr>
          <w:rFonts w:hint="eastAsia" w:ascii="黑体" w:hAnsi="黑体" w:eastAsia="黑体"/>
          <w:b/>
          <w:sz w:val="21"/>
          <w:szCs w:val="21"/>
          <w:u w:val="none"/>
        </w:rPr>
      </w:pPr>
      <w:r>
        <w:rPr>
          <w:rFonts w:hint="eastAsia" w:ascii="黑体" w:hAnsi="黑体" w:eastAsia="黑体"/>
          <w:b/>
          <w:sz w:val="21"/>
          <w:szCs w:val="21"/>
          <w:u w:val="none"/>
        </w:rPr>
        <w:t>表7-1 建筑经济信息化管理专业教学进程总体安排表</w:t>
      </w:r>
    </w:p>
    <w:tbl>
      <w:tblPr>
        <w:tblStyle w:val="18"/>
        <w:tblW w:w="4959" w:type="pct"/>
        <w:tblInd w:w="0" w:type="dxa"/>
        <w:tblLayout w:type="fixed"/>
        <w:tblCellMar>
          <w:top w:w="0" w:type="dxa"/>
          <w:left w:w="108" w:type="dxa"/>
          <w:bottom w:w="0" w:type="dxa"/>
          <w:right w:w="108" w:type="dxa"/>
        </w:tblCellMar>
      </w:tblPr>
      <w:tblGrid>
        <w:gridCol w:w="406"/>
        <w:gridCol w:w="389"/>
        <w:gridCol w:w="1920"/>
        <w:gridCol w:w="437"/>
        <w:gridCol w:w="555"/>
        <w:gridCol w:w="689"/>
        <w:gridCol w:w="750"/>
        <w:gridCol w:w="660"/>
        <w:gridCol w:w="464"/>
        <w:gridCol w:w="523"/>
        <w:gridCol w:w="551"/>
        <w:gridCol w:w="575"/>
        <w:gridCol w:w="676"/>
        <w:gridCol w:w="617"/>
      </w:tblGrid>
      <w:tr>
        <w:tblPrEx>
          <w:tblCellMar>
            <w:top w:w="0" w:type="dxa"/>
            <w:left w:w="108" w:type="dxa"/>
            <w:bottom w:w="0" w:type="dxa"/>
            <w:right w:w="108" w:type="dxa"/>
          </w:tblCellMar>
        </w:tblPrEx>
        <w:trPr>
          <w:trHeight w:val="285" w:hRule="atLeast"/>
        </w:trPr>
        <w:tc>
          <w:tcPr>
            <w:tcW w:w="220"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课程类别</w:t>
            </w:r>
          </w:p>
        </w:tc>
        <w:tc>
          <w:tcPr>
            <w:tcW w:w="211"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课程性质</w:t>
            </w:r>
          </w:p>
        </w:tc>
        <w:tc>
          <w:tcPr>
            <w:tcW w:w="1042"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课程名称</w:t>
            </w:r>
          </w:p>
        </w:tc>
        <w:tc>
          <w:tcPr>
            <w:tcW w:w="237"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考核方式</w:t>
            </w:r>
          </w:p>
        </w:tc>
        <w:tc>
          <w:tcPr>
            <w:tcW w:w="3289" w:type="pct"/>
            <w:gridSpan w:val="10"/>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422"/>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学期周学时及周数分配</w:t>
            </w:r>
          </w:p>
        </w:tc>
      </w:tr>
      <w:tr>
        <w:tblPrEx>
          <w:tblCellMar>
            <w:top w:w="0" w:type="dxa"/>
            <w:left w:w="108" w:type="dxa"/>
            <w:bottom w:w="0" w:type="dxa"/>
            <w:right w:w="108" w:type="dxa"/>
          </w:tblCellMar>
        </w:tblPrEx>
        <w:trPr>
          <w:trHeight w:val="660" w:hRule="atLeast"/>
        </w:trPr>
        <w:tc>
          <w:tcPr>
            <w:tcW w:w="220"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37"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学分</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总学时</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理论</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实践</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一</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二</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三</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四</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五</w:t>
            </w:r>
          </w:p>
        </w:tc>
        <w:tc>
          <w:tcPr>
            <w:tcW w:w="334"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六</w:t>
            </w:r>
          </w:p>
        </w:tc>
      </w:tr>
      <w:tr>
        <w:tblPrEx>
          <w:tblCellMar>
            <w:top w:w="0" w:type="dxa"/>
            <w:left w:w="108" w:type="dxa"/>
            <w:bottom w:w="0" w:type="dxa"/>
            <w:right w:w="108" w:type="dxa"/>
          </w:tblCellMar>
        </w:tblPrEx>
        <w:trPr>
          <w:trHeight w:val="285" w:hRule="atLeast"/>
        </w:trPr>
        <w:tc>
          <w:tcPr>
            <w:tcW w:w="220" w:type="pct"/>
            <w:vMerge w:val="restart"/>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公共课</w:t>
            </w:r>
          </w:p>
        </w:tc>
        <w:tc>
          <w:tcPr>
            <w:tcW w:w="211" w:type="pct"/>
            <w:vMerge w:val="restart"/>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公共基础课</w:t>
            </w: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思想道德与</w:t>
            </w:r>
            <w:r>
              <w:rPr>
                <w:rFonts w:hint="eastAsia" w:ascii="仿宋" w:hAnsi="仿宋" w:eastAsia="仿宋" w:cs="仿宋"/>
                <w:color w:val="auto"/>
                <w:kern w:val="0"/>
                <w:sz w:val="21"/>
                <w:szCs w:val="21"/>
                <w:u w:val="none"/>
                <w:lang w:bidi="ar"/>
              </w:rPr>
              <w:t>法治</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48</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restart"/>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eastAsia="zh-CN" w:bidi="ar"/>
              </w:rPr>
            </w:pPr>
            <w:r>
              <w:rPr>
                <w:rFonts w:hint="eastAsia" w:ascii="仿宋" w:hAnsi="仿宋" w:eastAsia="仿宋" w:cs="仿宋"/>
                <w:color w:val="000000"/>
                <w:kern w:val="0"/>
                <w:sz w:val="21"/>
                <w:szCs w:val="21"/>
                <w:u w:val="none"/>
                <w:lang w:eastAsia="zh-CN" w:bidi="ar"/>
              </w:rPr>
              <w:t>岗位</w:t>
            </w:r>
            <w:r>
              <w:rPr>
                <w:rFonts w:hint="eastAsia" w:ascii="仿宋" w:hAnsi="仿宋" w:eastAsia="仿宋" w:cs="仿宋"/>
                <w:color w:val="000000"/>
                <w:kern w:val="0"/>
                <w:sz w:val="21"/>
                <w:szCs w:val="21"/>
                <w:u w:val="none"/>
                <w:lang w:bidi="ar"/>
              </w:rPr>
              <w:t>实习</w:t>
            </w:r>
            <w:r>
              <w:rPr>
                <w:rFonts w:hint="eastAsia" w:ascii="仿宋" w:hAnsi="仿宋" w:eastAsia="仿宋" w:cs="仿宋"/>
                <w:color w:val="000000"/>
                <w:kern w:val="0"/>
                <w:sz w:val="21"/>
                <w:szCs w:val="21"/>
                <w:u w:val="none"/>
                <w:lang w:eastAsia="zh-CN" w:bidi="ar"/>
              </w:rPr>
              <w:t>（</w:t>
            </w:r>
            <w:r>
              <w:rPr>
                <w:rFonts w:hint="eastAsia" w:ascii="仿宋" w:hAnsi="仿宋" w:eastAsia="仿宋" w:cs="仿宋"/>
                <w:color w:val="000000"/>
                <w:kern w:val="0"/>
                <w:sz w:val="21"/>
                <w:szCs w:val="21"/>
                <w:u w:val="none"/>
                <w:lang w:val="en-US" w:eastAsia="zh-CN" w:bidi="ar"/>
              </w:rPr>
              <w:t>综合实训</w:t>
            </w:r>
            <w:r>
              <w:rPr>
                <w:rFonts w:hint="eastAsia" w:ascii="仿宋" w:hAnsi="仿宋" w:eastAsia="仿宋" w:cs="仿宋"/>
                <w:color w:val="000000"/>
                <w:kern w:val="0"/>
                <w:sz w:val="21"/>
                <w:szCs w:val="21"/>
                <w:u w:val="none"/>
                <w:lang w:eastAsia="zh-CN" w:bidi="ar"/>
              </w:rPr>
              <w:t>）</w:t>
            </w:r>
          </w:p>
        </w:tc>
      </w:tr>
      <w:tr>
        <w:tblPrEx>
          <w:tblCellMar>
            <w:top w:w="0" w:type="dxa"/>
            <w:left w:w="108" w:type="dxa"/>
            <w:bottom w:w="0" w:type="dxa"/>
            <w:right w:w="108" w:type="dxa"/>
          </w:tblCellMar>
        </w:tblPrEx>
        <w:trPr>
          <w:trHeight w:val="46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毛泽东思想和中国特色社会主义理论体系概论</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555" w:type="dxa"/>
            <w:tcBorders>
              <w:top w:val="nil"/>
              <w:left w:val="nil"/>
              <w:bottom w:val="single" w:color="000000" w:sz="8" w:space="0"/>
              <w:right w:val="single" w:color="000000" w:sz="8" w:space="0"/>
            </w:tcBorders>
            <w:noWrap w:val="0"/>
            <w:vAlign w:val="center"/>
          </w:tcPr>
          <w:p>
            <w:pPr>
              <w:widowControl/>
              <w:spacing w:line="240" w:lineRule="exact"/>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val="en-US" w:eastAsia="zh-CN" w:bidi="ar"/>
              </w:rPr>
              <w:t>2</w:t>
            </w:r>
          </w:p>
        </w:tc>
        <w:tc>
          <w:tcPr>
            <w:tcW w:w="689" w:type="dxa"/>
            <w:tcBorders>
              <w:top w:val="nil"/>
              <w:left w:val="nil"/>
              <w:bottom w:val="single" w:color="000000" w:sz="8" w:space="0"/>
              <w:right w:val="single" w:color="000000" w:sz="8" w:space="0"/>
            </w:tcBorders>
            <w:noWrap w:val="0"/>
            <w:vAlign w:val="center"/>
          </w:tcPr>
          <w:p>
            <w:pPr>
              <w:widowControl/>
              <w:spacing w:line="240" w:lineRule="exact"/>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val="en-US" w:eastAsia="zh-CN" w:bidi="ar"/>
              </w:rPr>
              <w:t>36</w:t>
            </w:r>
          </w:p>
        </w:tc>
        <w:tc>
          <w:tcPr>
            <w:tcW w:w="750" w:type="dxa"/>
            <w:tcBorders>
              <w:top w:val="nil"/>
              <w:left w:val="nil"/>
              <w:bottom w:val="single" w:color="000000" w:sz="8" w:space="0"/>
              <w:right w:val="single" w:color="000000" w:sz="8" w:space="0"/>
            </w:tcBorders>
            <w:noWrap w:val="0"/>
            <w:vAlign w:val="center"/>
          </w:tcPr>
          <w:p>
            <w:pPr>
              <w:widowControl/>
              <w:spacing w:line="240" w:lineRule="exact"/>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val="en-US" w:eastAsia="zh-CN" w:bidi="ar"/>
              </w:rPr>
              <w:t>30</w:t>
            </w:r>
          </w:p>
        </w:tc>
        <w:tc>
          <w:tcPr>
            <w:tcW w:w="660" w:type="dxa"/>
            <w:tcBorders>
              <w:top w:val="nil"/>
              <w:left w:val="nil"/>
              <w:bottom w:val="single" w:color="000000" w:sz="8" w:space="0"/>
              <w:right w:val="single" w:color="000000" w:sz="8" w:space="0"/>
            </w:tcBorders>
            <w:noWrap w:val="0"/>
            <w:vAlign w:val="center"/>
          </w:tcPr>
          <w:p>
            <w:pPr>
              <w:widowControl/>
              <w:spacing w:line="240" w:lineRule="exact"/>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val="en-US" w:eastAsia="zh-CN" w:bidi="ar"/>
              </w:rPr>
              <w:t>6</w:t>
            </w:r>
          </w:p>
        </w:tc>
        <w:tc>
          <w:tcPr>
            <w:tcW w:w="464" w:type="dxa"/>
            <w:tcBorders>
              <w:top w:val="nil"/>
              <w:left w:val="nil"/>
              <w:bottom w:val="single" w:color="000000" w:sz="8" w:space="0"/>
              <w:right w:val="single" w:color="000000" w:sz="8" w:space="0"/>
            </w:tcBorders>
            <w:noWrap w:val="0"/>
            <w:vAlign w:val="center"/>
          </w:tcPr>
          <w:p>
            <w:pPr>
              <w:widowControl/>
              <w:spacing w:line="240" w:lineRule="exact"/>
              <w:ind w:firstLine="0" w:firstLineChars="0"/>
              <w:jc w:val="center"/>
              <w:textAlignment w:val="center"/>
              <w:rPr>
                <w:rFonts w:hint="eastAsia" w:ascii="仿宋" w:hAnsi="仿宋" w:eastAsia="仿宋" w:cs="仿宋"/>
                <w:color w:val="000000"/>
                <w:kern w:val="0"/>
                <w:sz w:val="21"/>
                <w:szCs w:val="21"/>
                <w:u w:val="none"/>
                <w:lang w:bidi="ar"/>
              </w:rPr>
            </w:pPr>
          </w:p>
        </w:tc>
        <w:tc>
          <w:tcPr>
            <w:tcW w:w="523" w:type="dxa"/>
            <w:tcBorders>
              <w:top w:val="nil"/>
              <w:left w:val="nil"/>
              <w:bottom w:val="single" w:color="000000" w:sz="8" w:space="0"/>
              <w:right w:val="single" w:color="000000" w:sz="8" w:space="0"/>
            </w:tcBorders>
            <w:noWrap w:val="0"/>
            <w:vAlign w:val="center"/>
          </w:tcPr>
          <w:p>
            <w:pPr>
              <w:widowControl/>
              <w:spacing w:line="240" w:lineRule="exact"/>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val="en-US" w:eastAsia="zh-CN" w:bidi="ar"/>
              </w:rPr>
              <w:t>2</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6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习近平新时代中国特色社会主义思想概论</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48</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3</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lang w:val="en-US" w:eastAsia="zh-CN"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6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形势与政策</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48</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12</w:t>
            </w:r>
          </w:p>
        </w:tc>
        <w:tc>
          <w:tcPr>
            <w:tcW w:w="1513" w:type="pct"/>
            <w:gridSpan w:val="5"/>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sz w:val="21"/>
                <w:szCs w:val="21"/>
                <w:u w:val="none"/>
              </w:rPr>
            </w:pPr>
            <w:r>
              <w:rPr>
                <w:rFonts w:hint="eastAsia" w:ascii="仿宋" w:hAnsi="仿宋" w:eastAsia="仿宋" w:cs="仿宋"/>
                <w:color w:val="000000"/>
                <w:kern w:val="0"/>
                <w:sz w:val="21"/>
                <w:szCs w:val="21"/>
                <w:u w:val="none"/>
                <w:lang w:bidi="ar"/>
              </w:rPr>
              <w:t>每学期开设8课时</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2"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eastAsia="zh-CN" w:bidi="ar"/>
              </w:rPr>
            </w:pPr>
            <w:r>
              <w:rPr>
                <w:rFonts w:hint="eastAsia" w:ascii="仿宋" w:hAnsi="仿宋" w:eastAsia="仿宋" w:cs="仿宋"/>
                <w:color w:val="000000"/>
                <w:kern w:val="0"/>
                <w:sz w:val="21"/>
                <w:szCs w:val="21"/>
                <w:u w:val="none"/>
                <w:lang w:val="en-US" w:eastAsia="zh-CN" w:bidi="ar"/>
              </w:rPr>
              <w:t>中共党史</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555" w:type="dxa"/>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bidi="ar"/>
              </w:rPr>
              <w:t>2</w:t>
            </w:r>
          </w:p>
        </w:tc>
        <w:tc>
          <w:tcPr>
            <w:tcW w:w="689" w:type="dxa"/>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bidi="ar"/>
              </w:rPr>
              <w:t>36</w:t>
            </w:r>
          </w:p>
        </w:tc>
        <w:tc>
          <w:tcPr>
            <w:tcW w:w="750" w:type="dxa"/>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bidi="ar"/>
              </w:rPr>
              <w:t>30</w:t>
            </w:r>
          </w:p>
        </w:tc>
        <w:tc>
          <w:tcPr>
            <w:tcW w:w="660" w:type="dxa"/>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bidi="ar"/>
              </w:rPr>
              <w:t>6</w:t>
            </w:r>
          </w:p>
        </w:tc>
        <w:tc>
          <w:tcPr>
            <w:tcW w:w="464" w:type="dxa"/>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firstLineChars="200"/>
              <w:jc w:val="center"/>
              <w:rPr>
                <w:rFonts w:hint="eastAsia" w:ascii="仿宋" w:hAnsi="仿宋" w:eastAsia="仿宋" w:cs="仿宋"/>
                <w:color w:val="000000"/>
                <w:sz w:val="21"/>
                <w:szCs w:val="21"/>
                <w:u w:val="none"/>
              </w:rPr>
            </w:pPr>
          </w:p>
        </w:tc>
        <w:tc>
          <w:tcPr>
            <w:tcW w:w="523" w:type="dxa"/>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lang w:val="en-US" w:eastAsia="zh-CN" w:bidi="ar"/>
              </w:rPr>
              <w:t>2</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军事理论</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0</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军事技能</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112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112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val="en-US" w:eastAsia="zh-CN" w:bidi="ar"/>
              </w:rPr>
            </w:pPr>
            <w:r>
              <w:rPr>
                <w:rFonts w:hint="eastAsia" w:ascii="仿宋" w:hAnsi="仿宋" w:eastAsia="仿宋" w:cs="仿宋"/>
                <w:color w:val="000000"/>
                <w:kern w:val="0"/>
                <w:sz w:val="21"/>
                <w:szCs w:val="21"/>
                <w:u w:val="none"/>
                <w:lang w:val="en-US" w:eastAsia="zh-CN" w:bidi="ar"/>
              </w:rPr>
              <w:t>2周</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48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心理健康教育</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24</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8</w:t>
            </w:r>
          </w:p>
        </w:tc>
        <w:tc>
          <w:tcPr>
            <w:tcW w:w="1146" w:type="pct"/>
            <w:gridSpan w:val="4"/>
            <w:tcBorders>
              <w:top w:val="nil"/>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val="en-US" w:eastAsia="zh-CN" w:bidi="ar"/>
              </w:rPr>
              <w:t>第一学期开设12课时，第二学期开设20课时</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46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职业发展与就业指导</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44</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32</w:t>
            </w:r>
          </w:p>
        </w:tc>
        <w:tc>
          <w:tcPr>
            <w:tcW w:w="1146" w:type="pct"/>
            <w:gridSpan w:val="4"/>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每学期开设18课时，其中：10课时理论，8课时实践</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讲座4课时</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6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高等数学</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8</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0</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英语</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8</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100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信息技术基础</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64</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32</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体育</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68</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64</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kern w:val="0"/>
                <w:sz w:val="21"/>
                <w:szCs w:val="21"/>
                <w:u w:val="none"/>
                <w:lang w:bidi="ar"/>
              </w:rPr>
              <w:t>大学语文</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0</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建筑美学鉴赏</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0</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 xml:space="preserve"> </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700"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劳动教育</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12</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1146" w:type="pct"/>
            <w:gridSpan w:val="4"/>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大一每学期开设8课时，其中6课时理论，2课时实践；大一大二每学期的第12、13周为学院劳动周</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大学生国家安全教育</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大学生创新基础</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大学生创业</w:t>
            </w:r>
            <w:r>
              <w:rPr>
                <w:rFonts w:hint="eastAsia" w:ascii="仿宋" w:hAnsi="仿宋" w:eastAsia="仿宋" w:cs="仿宋"/>
                <w:color w:val="auto"/>
                <w:kern w:val="0"/>
                <w:sz w:val="21"/>
                <w:szCs w:val="21"/>
                <w:u w:val="none"/>
                <w:lang w:bidi="ar"/>
              </w:rPr>
              <w:t>基础</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大学生防艾健康教育</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1710" w:type="pct"/>
            <w:gridSpan w:val="4"/>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小计</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default" w:ascii="仿宋" w:hAnsi="仿宋" w:eastAsia="仿宋" w:cs="仿宋"/>
                <w:b/>
                <w:bCs/>
                <w:color w:val="000000"/>
                <w:kern w:val="0"/>
                <w:sz w:val="21"/>
                <w:szCs w:val="21"/>
                <w:u w:val="none"/>
                <w:lang w:bidi="ar"/>
              </w:rPr>
            </w:pPr>
            <w:r>
              <w:rPr>
                <w:rFonts w:hint="default" w:ascii="仿宋" w:hAnsi="仿宋" w:eastAsia="仿宋" w:cs="仿宋"/>
                <w:b/>
                <w:bCs/>
                <w:color w:val="000000"/>
                <w:kern w:val="0"/>
                <w:sz w:val="21"/>
                <w:szCs w:val="21"/>
                <w:u w:val="none"/>
                <w:lang w:bidi="ar"/>
              </w:rPr>
              <w:fldChar w:fldCharType="begin"/>
            </w:r>
            <w:r>
              <w:rPr>
                <w:rFonts w:hint="default" w:ascii="仿宋" w:hAnsi="仿宋" w:eastAsia="仿宋" w:cs="仿宋"/>
                <w:b/>
                <w:bCs/>
                <w:color w:val="000000"/>
                <w:kern w:val="0"/>
                <w:sz w:val="21"/>
                <w:szCs w:val="21"/>
                <w:u w:val="none"/>
                <w:lang w:bidi="ar"/>
              </w:rPr>
              <w:instrText xml:space="preserve"> =SUM(ABOVE) \* MERGEFORMAT </w:instrText>
            </w:r>
            <w:r>
              <w:rPr>
                <w:rFonts w:hint="default" w:ascii="仿宋" w:hAnsi="仿宋" w:eastAsia="仿宋" w:cs="仿宋"/>
                <w:b/>
                <w:bCs/>
                <w:color w:val="000000"/>
                <w:kern w:val="0"/>
                <w:sz w:val="21"/>
                <w:szCs w:val="21"/>
                <w:u w:val="none"/>
                <w:lang w:bidi="ar"/>
              </w:rPr>
              <w:fldChar w:fldCharType="separate"/>
            </w:r>
            <w:r>
              <w:rPr>
                <w:rFonts w:hint="default" w:ascii="仿宋" w:hAnsi="仿宋" w:eastAsia="仿宋" w:cs="仿宋"/>
                <w:b/>
                <w:bCs/>
                <w:color w:val="000000"/>
                <w:kern w:val="0"/>
                <w:sz w:val="21"/>
                <w:szCs w:val="21"/>
                <w:u w:val="none"/>
                <w:lang w:bidi="ar"/>
              </w:rPr>
              <w:t>58</w:t>
            </w:r>
            <w:r>
              <w:rPr>
                <w:rFonts w:hint="default" w:ascii="仿宋" w:hAnsi="仿宋" w:eastAsia="仿宋" w:cs="仿宋"/>
                <w:b/>
                <w:bCs/>
                <w:color w:val="000000"/>
                <w:kern w:val="0"/>
                <w:sz w:val="21"/>
                <w:szCs w:val="21"/>
                <w:u w:val="none"/>
                <w:lang w:bidi="ar"/>
              </w:rPr>
              <w:fldChar w:fldCharType="end"/>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default" w:ascii="仿宋" w:hAnsi="仿宋" w:eastAsia="仿宋" w:cs="仿宋"/>
                <w:b/>
                <w:bCs/>
                <w:color w:val="000000"/>
                <w:kern w:val="0"/>
                <w:sz w:val="21"/>
                <w:szCs w:val="21"/>
                <w:u w:val="none"/>
                <w:lang w:bidi="ar"/>
              </w:rPr>
            </w:pPr>
            <w:r>
              <w:rPr>
                <w:rFonts w:hint="default" w:ascii="仿宋" w:hAnsi="仿宋" w:eastAsia="仿宋" w:cs="仿宋"/>
                <w:b/>
                <w:bCs/>
                <w:color w:val="000000"/>
                <w:kern w:val="0"/>
                <w:sz w:val="21"/>
                <w:szCs w:val="21"/>
                <w:u w:val="none"/>
                <w:lang w:bidi="ar"/>
              </w:rPr>
              <w:fldChar w:fldCharType="begin"/>
            </w:r>
            <w:r>
              <w:rPr>
                <w:rFonts w:hint="default" w:ascii="仿宋" w:hAnsi="仿宋" w:eastAsia="仿宋" w:cs="仿宋"/>
                <w:b/>
                <w:bCs/>
                <w:color w:val="000000"/>
                <w:kern w:val="0"/>
                <w:sz w:val="21"/>
                <w:szCs w:val="21"/>
                <w:u w:val="none"/>
                <w:lang w:bidi="ar"/>
              </w:rPr>
              <w:instrText xml:space="preserve"> =SUM(ABOVE) \* MERGEFORMAT </w:instrText>
            </w:r>
            <w:r>
              <w:rPr>
                <w:rFonts w:hint="default" w:ascii="仿宋" w:hAnsi="仿宋" w:eastAsia="仿宋" w:cs="仿宋"/>
                <w:b/>
                <w:bCs/>
                <w:color w:val="000000"/>
                <w:kern w:val="0"/>
                <w:sz w:val="21"/>
                <w:szCs w:val="21"/>
                <w:u w:val="none"/>
                <w:lang w:bidi="ar"/>
              </w:rPr>
              <w:fldChar w:fldCharType="separate"/>
            </w:r>
            <w:r>
              <w:rPr>
                <w:rFonts w:hint="default" w:ascii="仿宋" w:hAnsi="仿宋" w:eastAsia="仿宋" w:cs="仿宋"/>
                <w:b/>
                <w:bCs/>
                <w:color w:val="000000"/>
                <w:kern w:val="0"/>
                <w:sz w:val="21"/>
                <w:szCs w:val="21"/>
                <w:u w:val="none"/>
                <w:lang w:bidi="ar"/>
              </w:rPr>
              <w:t>1108</w:t>
            </w:r>
            <w:r>
              <w:rPr>
                <w:rFonts w:hint="default" w:ascii="仿宋" w:hAnsi="仿宋" w:eastAsia="仿宋" w:cs="仿宋"/>
                <w:b/>
                <w:bCs/>
                <w:color w:val="000000"/>
                <w:kern w:val="0"/>
                <w:sz w:val="21"/>
                <w:szCs w:val="21"/>
                <w:u w:val="none"/>
                <w:lang w:bidi="ar"/>
              </w:rPr>
              <w:fldChar w:fldCharType="end"/>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default" w:ascii="仿宋" w:hAnsi="仿宋" w:eastAsia="仿宋" w:cs="仿宋"/>
                <w:b/>
                <w:bCs/>
                <w:color w:val="000000"/>
                <w:kern w:val="0"/>
                <w:sz w:val="21"/>
                <w:szCs w:val="21"/>
                <w:u w:val="none"/>
                <w:lang w:bidi="ar"/>
              </w:rPr>
            </w:pPr>
            <w:r>
              <w:rPr>
                <w:rFonts w:hint="default" w:ascii="仿宋" w:hAnsi="仿宋" w:eastAsia="仿宋" w:cs="仿宋"/>
                <w:b/>
                <w:bCs/>
                <w:color w:val="000000"/>
                <w:kern w:val="0"/>
                <w:sz w:val="21"/>
                <w:szCs w:val="21"/>
                <w:u w:val="none"/>
                <w:lang w:bidi="ar"/>
              </w:rPr>
              <w:fldChar w:fldCharType="begin"/>
            </w:r>
            <w:r>
              <w:rPr>
                <w:rFonts w:hint="default" w:ascii="仿宋" w:hAnsi="仿宋" w:eastAsia="仿宋" w:cs="仿宋"/>
                <w:b/>
                <w:bCs/>
                <w:color w:val="000000"/>
                <w:kern w:val="0"/>
                <w:sz w:val="21"/>
                <w:szCs w:val="21"/>
                <w:u w:val="none"/>
                <w:lang w:bidi="ar"/>
              </w:rPr>
              <w:instrText xml:space="preserve"> =SUM(ABOVE) \* MERGEFORMAT </w:instrText>
            </w:r>
            <w:r>
              <w:rPr>
                <w:rFonts w:hint="default" w:ascii="仿宋" w:hAnsi="仿宋" w:eastAsia="仿宋" w:cs="仿宋"/>
                <w:b/>
                <w:bCs/>
                <w:color w:val="000000"/>
                <w:kern w:val="0"/>
                <w:sz w:val="21"/>
                <w:szCs w:val="21"/>
                <w:u w:val="none"/>
                <w:lang w:bidi="ar"/>
              </w:rPr>
              <w:fldChar w:fldCharType="separate"/>
            </w:r>
            <w:r>
              <w:rPr>
                <w:rFonts w:hint="default" w:ascii="仿宋" w:hAnsi="仿宋" w:eastAsia="仿宋" w:cs="仿宋"/>
                <w:b/>
                <w:bCs/>
                <w:color w:val="000000"/>
                <w:kern w:val="0"/>
                <w:sz w:val="21"/>
                <w:szCs w:val="21"/>
                <w:u w:val="none"/>
                <w:lang w:bidi="ar"/>
              </w:rPr>
              <w:t>708</w:t>
            </w:r>
            <w:r>
              <w:rPr>
                <w:rFonts w:hint="default" w:ascii="仿宋" w:hAnsi="仿宋" w:eastAsia="仿宋" w:cs="仿宋"/>
                <w:b/>
                <w:bCs/>
                <w:color w:val="000000"/>
                <w:kern w:val="0"/>
                <w:sz w:val="21"/>
                <w:szCs w:val="21"/>
                <w:u w:val="none"/>
                <w:lang w:bidi="ar"/>
              </w:rPr>
              <w:fldChar w:fldCharType="end"/>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b/>
                <w:bCs/>
                <w:color w:val="000000"/>
                <w:kern w:val="0"/>
                <w:sz w:val="21"/>
                <w:szCs w:val="21"/>
                <w:u w:val="none"/>
                <w:lang w:bidi="ar"/>
              </w:rPr>
            </w:pPr>
            <w:r>
              <w:rPr>
                <w:rFonts w:hint="default" w:ascii="仿宋" w:hAnsi="仿宋" w:eastAsia="仿宋" w:cs="仿宋"/>
                <w:b/>
                <w:bCs/>
                <w:color w:val="000000"/>
                <w:kern w:val="0"/>
                <w:sz w:val="21"/>
                <w:szCs w:val="21"/>
                <w:u w:val="none"/>
                <w:lang w:bidi="ar"/>
              </w:rPr>
              <w:fldChar w:fldCharType="begin"/>
            </w:r>
            <w:r>
              <w:rPr>
                <w:rFonts w:hint="default" w:ascii="仿宋" w:hAnsi="仿宋" w:eastAsia="仿宋" w:cs="仿宋"/>
                <w:b/>
                <w:bCs/>
                <w:color w:val="000000"/>
                <w:kern w:val="0"/>
                <w:sz w:val="21"/>
                <w:szCs w:val="21"/>
                <w:u w:val="none"/>
                <w:lang w:bidi="ar"/>
              </w:rPr>
              <w:instrText xml:space="preserve"> =SUM(ABOVE) \* MERGEFORMAT </w:instrText>
            </w:r>
            <w:r>
              <w:rPr>
                <w:rFonts w:hint="default" w:ascii="仿宋" w:hAnsi="仿宋" w:eastAsia="仿宋" w:cs="仿宋"/>
                <w:b/>
                <w:bCs/>
                <w:color w:val="000000"/>
                <w:kern w:val="0"/>
                <w:sz w:val="21"/>
                <w:szCs w:val="21"/>
                <w:u w:val="none"/>
                <w:lang w:bidi="ar"/>
              </w:rPr>
              <w:fldChar w:fldCharType="separate"/>
            </w:r>
            <w:r>
              <w:rPr>
                <w:rFonts w:hint="default" w:ascii="仿宋" w:hAnsi="仿宋" w:eastAsia="仿宋" w:cs="仿宋"/>
                <w:b/>
                <w:bCs/>
                <w:color w:val="000000"/>
                <w:kern w:val="0"/>
                <w:sz w:val="21"/>
                <w:szCs w:val="21"/>
                <w:u w:val="none"/>
                <w:lang w:bidi="ar"/>
              </w:rPr>
              <w:t>400</w:t>
            </w:r>
            <w:r>
              <w:rPr>
                <w:rFonts w:hint="default" w:ascii="仿宋" w:hAnsi="仿宋" w:eastAsia="仿宋" w:cs="仿宋"/>
                <w:b/>
                <w:bCs/>
                <w:color w:val="000000"/>
                <w:kern w:val="0"/>
                <w:sz w:val="21"/>
                <w:szCs w:val="21"/>
                <w:u w:val="none"/>
                <w:lang w:bidi="ar"/>
              </w:rPr>
              <w:fldChar w:fldCharType="end"/>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19</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16</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4</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4</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2</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restart"/>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专业（技能）课</w:t>
            </w:r>
          </w:p>
        </w:tc>
        <w:tc>
          <w:tcPr>
            <w:tcW w:w="211" w:type="pct"/>
            <w:vMerge w:val="restart"/>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专业基础课</w:t>
            </w: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建筑制图与识图</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64</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建筑材料</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64</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54</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10</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FF0000"/>
                <w:kern w:val="0"/>
                <w:sz w:val="21"/>
                <w:szCs w:val="21"/>
                <w:u w:val="none"/>
                <w:lang w:bidi="ar"/>
              </w:rPr>
            </w:pPr>
            <w:r>
              <w:rPr>
                <w:rFonts w:hint="eastAsia" w:ascii="仿宋" w:hAnsi="仿宋" w:eastAsia="仿宋" w:cs="仿宋"/>
                <w:color w:val="auto"/>
                <w:kern w:val="0"/>
                <w:sz w:val="21"/>
                <w:szCs w:val="21"/>
                <w:u w:val="none"/>
                <w:lang w:bidi="ar"/>
              </w:rPr>
              <w:t>统计基础</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nil"/>
              <w:right w:val="nil"/>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房屋建筑学</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24</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建筑力学</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建筑结构</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54</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建筑CAD</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64</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建筑工程合同管理与法规</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建筑设备与安装识图</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工程测量</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建筑施工技术</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490" w:type="pct"/>
            <w:gridSpan w:val="3"/>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小计</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42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732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440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292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12</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10</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8</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8</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4</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390"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restart"/>
            <w:tcBorders>
              <w:top w:val="single" w:color="000000" w:sz="8" w:space="0"/>
              <w:left w:val="nil"/>
              <w:bottom w:val="nil"/>
              <w:right w:val="single" w:color="000000" w:sz="8" w:space="0"/>
            </w:tcBorders>
            <w:noWrap w:val="0"/>
            <w:vAlign w:val="center"/>
          </w:tcPr>
          <w:p>
            <w:pPr>
              <w:widowControl/>
              <w:adjustRightInd w:val="0"/>
              <w:snapToGrid w:val="0"/>
              <w:spacing w:line="192" w:lineRule="auto"/>
              <w:ind w:firstLine="422"/>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专</w:t>
            </w:r>
            <w:r>
              <w:rPr>
                <w:rFonts w:hint="eastAsia" w:ascii="仿宋" w:hAnsi="仿宋" w:eastAsia="仿宋" w:cs="仿宋"/>
                <w:b/>
                <w:bCs/>
                <w:color w:val="000000"/>
                <w:kern w:val="0"/>
                <w:sz w:val="21"/>
                <w:szCs w:val="21"/>
                <w:u w:val="none"/>
                <w:lang w:eastAsia="zh-CN" w:bidi="ar"/>
              </w:rPr>
              <w:t>专</w:t>
            </w:r>
            <w:r>
              <w:rPr>
                <w:rFonts w:hint="eastAsia" w:ascii="仿宋" w:hAnsi="仿宋" w:eastAsia="仿宋" w:cs="仿宋"/>
                <w:b/>
                <w:bCs/>
                <w:color w:val="000000"/>
                <w:kern w:val="0"/>
                <w:sz w:val="21"/>
                <w:szCs w:val="21"/>
                <w:u w:val="none"/>
                <w:lang w:bidi="ar"/>
              </w:rPr>
              <w:t>业核心课</w:t>
            </w: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★混凝土结构施工图平法识图</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★工程经济学</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24</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★工程项目管理</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46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★建筑工程计量与计价(上册)</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46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★建筑工程计量与计价（下册）</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46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★建设工程造价管理与投资审计</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46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nil"/>
              <w:bottom w:val="nil"/>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★工程造价信息化(广联达/品茗等软件）</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490" w:type="pct"/>
            <w:gridSpan w:val="3"/>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小计</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24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432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258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174</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0</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4</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6</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10</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4</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restart"/>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kern w:val="0"/>
                <w:sz w:val="21"/>
                <w:szCs w:val="21"/>
                <w:u w:val="none"/>
                <w:lang w:bidi="ar"/>
              </w:rPr>
            </w:pPr>
            <w:r>
              <w:rPr>
                <w:rFonts w:hint="eastAsia" w:ascii="仿宋" w:hAnsi="仿宋" w:eastAsia="仿宋" w:cs="仿宋"/>
                <w:b/>
                <w:bCs/>
                <w:color w:val="000000"/>
                <w:kern w:val="0"/>
                <w:sz w:val="21"/>
                <w:szCs w:val="21"/>
                <w:u w:val="none"/>
                <w:lang w:bidi="ar"/>
              </w:rPr>
              <w:t>专业拓展（实践）课</w:t>
            </w: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BIM建模基础</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52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装配式建筑</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60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12</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管理学基础</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试</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54</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24</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应用文写作</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专业技能竞赛与实践</w:t>
            </w:r>
          </w:p>
        </w:tc>
        <w:tc>
          <w:tcPr>
            <w:tcW w:w="23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10</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1513" w:type="pct"/>
            <w:gridSpan w:val="5"/>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前5学期，每学期2学分</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420"/>
              <w:jc w:val="center"/>
              <w:rPr>
                <w:rFonts w:hint="eastAsia" w:ascii="仿宋" w:hAnsi="仿宋" w:eastAsia="仿宋" w:cs="仿宋"/>
                <w:color w:val="000000"/>
                <w:sz w:val="21"/>
                <w:szCs w:val="21"/>
                <w:u w:val="none"/>
              </w:rPr>
            </w:pPr>
          </w:p>
        </w:tc>
      </w:tr>
      <w:tr>
        <w:tblPrEx>
          <w:tblCellMar>
            <w:top w:w="0" w:type="dxa"/>
            <w:left w:w="108" w:type="dxa"/>
            <w:bottom w:w="0" w:type="dxa"/>
            <w:right w:w="108" w:type="dxa"/>
          </w:tblCellMar>
        </w:tblPrEx>
        <w:trPr>
          <w:trHeight w:val="270"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毕业综合实训（1+X BIM/1+X 识图）</w:t>
            </w:r>
          </w:p>
        </w:tc>
        <w:tc>
          <w:tcPr>
            <w:tcW w:w="237" w:type="pct"/>
            <w:vMerge w:val="restart"/>
            <w:tcBorders>
              <w:top w:val="nil"/>
              <w:left w:val="nil"/>
              <w:bottom w:val="nil"/>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73"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72</w:t>
            </w:r>
          </w:p>
        </w:tc>
        <w:tc>
          <w:tcPr>
            <w:tcW w:w="407"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20</w:t>
            </w:r>
          </w:p>
        </w:tc>
        <w:tc>
          <w:tcPr>
            <w:tcW w:w="358"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52</w:t>
            </w:r>
          </w:p>
        </w:tc>
        <w:tc>
          <w:tcPr>
            <w:tcW w:w="251"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vMerge w:val="restar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4</w:t>
            </w: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r>
      <w:tr>
        <w:tblPrEx>
          <w:tblCellMar>
            <w:top w:w="0" w:type="dxa"/>
            <w:left w:w="108" w:type="dxa"/>
            <w:bottom w:w="0" w:type="dxa"/>
            <w:right w:w="108" w:type="dxa"/>
          </w:tblCellMar>
        </w:tblPrEx>
        <w:trPr>
          <w:trHeight w:val="240"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37" w:type="pct"/>
            <w:vMerge w:val="continue"/>
            <w:tcBorders>
              <w:top w:val="nil"/>
              <w:left w:val="nil"/>
              <w:bottom w:val="nil"/>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01"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73"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407"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58"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51"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vMerge w:val="continue"/>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vMerge w:val="continue"/>
            <w:tcBorders>
              <w:top w:val="single" w:color="000000" w:sz="8" w:space="0"/>
              <w:left w:val="single" w:color="000000" w:sz="8" w:space="0"/>
              <w:bottom w:val="nil"/>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211"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042" w:type="pct"/>
            <w:tcBorders>
              <w:top w:val="single" w:color="000000" w:sz="8" w:space="0"/>
              <w:left w:val="nil"/>
              <w:bottom w:val="single" w:color="000000" w:sz="8" w:space="0"/>
              <w:right w:val="nil"/>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eastAsia="zh-CN" w:bidi="ar"/>
              </w:rPr>
            </w:pPr>
            <w:r>
              <w:rPr>
                <w:rFonts w:hint="eastAsia" w:ascii="仿宋" w:hAnsi="仿宋" w:eastAsia="仿宋" w:cs="仿宋"/>
                <w:color w:val="000000"/>
                <w:kern w:val="0"/>
                <w:sz w:val="21"/>
                <w:szCs w:val="21"/>
                <w:u w:val="none"/>
                <w:lang w:eastAsia="zh-CN" w:bidi="ar"/>
              </w:rPr>
              <w:t>岗位</w:t>
            </w:r>
            <w:r>
              <w:rPr>
                <w:rFonts w:hint="eastAsia" w:ascii="仿宋" w:hAnsi="仿宋" w:eastAsia="仿宋" w:cs="仿宋"/>
                <w:color w:val="000000"/>
                <w:kern w:val="0"/>
                <w:sz w:val="21"/>
                <w:szCs w:val="21"/>
                <w:u w:val="none"/>
                <w:lang w:bidi="ar"/>
              </w:rPr>
              <w:t>实习</w:t>
            </w:r>
            <w:r>
              <w:rPr>
                <w:rFonts w:hint="eastAsia" w:ascii="仿宋" w:hAnsi="仿宋" w:eastAsia="仿宋" w:cs="仿宋"/>
                <w:color w:val="000000"/>
                <w:kern w:val="0"/>
                <w:sz w:val="21"/>
                <w:szCs w:val="21"/>
                <w:u w:val="none"/>
                <w:lang w:eastAsia="zh-CN" w:bidi="ar"/>
              </w:rPr>
              <w:t>（</w:t>
            </w:r>
            <w:r>
              <w:rPr>
                <w:rFonts w:hint="eastAsia" w:ascii="仿宋" w:hAnsi="仿宋" w:eastAsia="仿宋" w:cs="仿宋"/>
                <w:color w:val="000000"/>
                <w:kern w:val="0"/>
                <w:sz w:val="21"/>
                <w:szCs w:val="21"/>
                <w:u w:val="none"/>
                <w:lang w:val="en-US" w:eastAsia="zh-CN" w:bidi="ar"/>
              </w:rPr>
              <w:t>综合实训</w:t>
            </w:r>
            <w:r>
              <w:rPr>
                <w:rFonts w:hint="eastAsia" w:ascii="仿宋" w:hAnsi="仿宋" w:eastAsia="仿宋" w:cs="仿宋"/>
                <w:color w:val="000000"/>
                <w:kern w:val="0"/>
                <w:sz w:val="21"/>
                <w:szCs w:val="21"/>
                <w:u w:val="none"/>
                <w:lang w:eastAsia="zh-CN" w:bidi="ar"/>
              </w:rPr>
              <w:t>）</w:t>
            </w:r>
          </w:p>
        </w:tc>
        <w:tc>
          <w:tcPr>
            <w:tcW w:w="237" w:type="pct"/>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查</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30</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540</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0</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540</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66" w:type="pct"/>
            <w:tcBorders>
              <w:top w:val="nil"/>
              <w:left w:val="nil"/>
              <w:bottom w:val="single" w:color="000000" w:sz="8" w:space="0"/>
              <w:right w:val="nil"/>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p>
        </w:tc>
        <w:tc>
          <w:tcPr>
            <w:tcW w:w="334" w:type="pct"/>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color w:val="000000"/>
                <w:kern w:val="0"/>
                <w:sz w:val="21"/>
                <w:szCs w:val="21"/>
                <w:u w:val="none"/>
                <w:lang w:bidi="ar"/>
              </w:rPr>
            </w:pPr>
            <w:r>
              <w:rPr>
                <w:rFonts w:hint="eastAsia" w:ascii="仿宋" w:hAnsi="仿宋" w:eastAsia="仿宋" w:cs="仿宋"/>
                <w:color w:val="000000"/>
                <w:kern w:val="0"/>
                <w:sz w:val="21"/>
                <w:szCs w:val="21"/>
                <w:u w:val="none"/>
                <w:lang w:bidi="ar"/>
              </w:rPr>
              <w:t>540</w:t>
            </w:r>
          </w:p>
        </w:tc>
      </w:tr>
      <w:tr>
        <w:tblPrEx>
          <w:tblCellMar>
            <w:top w:w="0" w:type="dxa"/>
            <w:left w:w="108" w:type="dxa"/>
            <w:bottom w:w="0" w:type="dxa"/>
            <w:right w:w="108" w:type="dxa"/>
          </w:tblCellMar>
        </w:tblPrEx>
        <w:trPr>
          <w:trHeight w:val="285" w:hRule="atLeast"/>
        </w:trPr>
        <w:tc>
          <w:tcPr>
            <w:tcW w:w="220" w:type="pct"/>
            <w:vMerge w:val="continue"/>
            <w:tcBorders>
              <w:top w:val="single" w:color="000000" w:sz="8" w:space="0"/>
              <w:left w:val="single" w:color="000000" w:sz="8" w:space="0"/>
              <w:bottom w:val="single" w:color="000000" w:sz="4"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c>
          <w:tcPr>
            <w:tcW w:w="1490" w:type="pct"/>
            <w:gridSpan w:val="3"/>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小计</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57</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846</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148</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698</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0</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0</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0</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4</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13</w:t>
            </w:r>
          </w:p>
        </w:tc>
        <w:tc>
          <w:tcPr>
            <w:tcW w:w="334"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2"/>
              <w:jc w:val="center"/>
              <w:rPr>
                <w:rFonts w:hint="eastAsia" w:ascii="仿宋" w:hAnsi="仿宋" w:eastAsia="仿宋" w:cs="仿宋"/>
                <w:b/>
                <w:bCs/>
                <w:color w:val="000000"/>
                <w:sz w:val="21"/>
                <w:szCs w:val="21"/>
                <w:u w:val="none"/>
              </w:rPr>
            </w:pPr>
          </w:p>
        </w:tc>
      </w:tr>
      <w:tr>
        <w:tblPrEx>
          <w:tblCellMar>
            <w:top w:w="0" w:type="dxa"/>
            <w:left w:w="108" w:type="dxa"/>
            <w:bottom w:w="0" w:type="dxa"/>
            <w:right w:w="108" w:type="dxa"/>
          </w:tblCellMar>
        </w:tblPrEx>
        <w:trPr>
          <w:trHeight w:val="285" w:hRule="atLeast"/>
        </w:trPr>
        <w:tc>
          <w:tcPr>
            <w:tcW w:w="1710" w:type="pct"/>
            <w:gridSpan w:val="4"/>
            <w:tcBorders>
              <w:top w:val="nil"/>
              <w:left w:val="single" w:color="000000" w:sz="8" w:space="0"/>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总 计</w:t>
            </w:r>
          </w:p>
        </w:tc>
        <w:tc>
          <w:tcPr>
            <w:tcW w:w="30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default" w:ascii="仿宋" w:hAnsi="仿宋" w:eastAsia="仿宋" w:cs="仿宋"/>
                <w:b/>
                <w:bCs/>
                <w:color w:val="000000"/>
                <w:sz w:val="21"/>
                <w:szCs w:val="21"/>
                <w:u w:val="none"/>
                <w:lang w:val="en-US" w:eastAsia="zh-CN"/>
              </w:rPr>
            </w:pPr>
            <w:r>
              <w:rPr>
                <w:rFonts w:hint="eastAsia" w:ascii="仿宋" w:hAnsi="仿宋" w:eastAsia="仿宋" w:cs="仿宋"/>
                <w:b/>
                <w:bCs/>
                <w:color w:val="000000"/>
                <w:kern w:val="0"/>
                <w:sz w:val="21"/>
                <w:szCs w:val="21"/>
                <w:u w:val="none"/>
                <w:lang w:bidi="ar"/>
              </w:rPr>
              <w:t>1</w:t>
            </w:r>
            <w:r>
              <w:rPr>
                <w:rFonts w:hint="eastAsia" w:ascii="仿宋" w:hAnsi="仿宋" w:eastAsia="仿宋" w:cs="仿宋"/>
                <w:b/>
                <w:bCs/>
                <w:color w:val="000000"/>
                <w:kern w:val="0"/>
                <w:sz w:val="21"/>
                <w:szCs w:val="21"/>
                <w:u w:val="none"/>
                <w:lang w:val="en-US" w:eastAsia="zh-CN" w:bidi="ar"/>
              </w:rPr>
              <w:t>81</w:t>
            </w:r>
          </w:p>
        </w:tc>
        <w:tc>
          <w:tcPr>
            <w:tcW w:w="37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default" w:ascii="仿宋" w:hAnsi="仿宋" w:eastAsia="仿宋" w:cs="仿宋"/>
                <w:b/>
                <w:bCs/>
                <w:color w:val="000000"/>
                <w:sz w:val="21"/>
                <w:szCs w:val="21"/>
                <w:u w:val="none"/>
                <w:lang w:val="en-US" w:eastAsia="zh-CN"/>
              </w:rPr>
            </w:pPr>
            <w:r>
              <w:rPr>
                <w:rFonts w:hint="eastAsia" w:ascii="仿宋" w:hAnsi="仿宋" w:eastAsia="仿宋" w:cs="仿宋"/>
                <w:b/>
                <w:bCs/>
                <w:color w:val="000000"/>
                <w:kern w:val="0"/>
                <w:sz w:val="21"/>
                <w:szCs w:val="21"/>
                <w:u w:val="none"/>
                <w:lang w:bidi="ar"/>
              </w:rPr>
              <w:t>31</w:t>
            </w:r>
            <w:r>
              <w:rPr>
                <w:rFonts w:hint="eastAsia" w:ascii="仿宋" w:hAnsi="仿宋" w:eastAsia="仿宋" w:cs="仿宋"/>
                <w:b/>
                <w:bCs/>
                <w:color w:val="000000"/>
                <w:kern w:val="0"/>
                <w:sz w:val="21"/>
                <w:szCs w:val="21"/>
                <w:u w:val="none"/>
                <w:lang w:val="en-US" w:eastAsia="zh-CN" w:bidi="ar"/>
              </w:rPr>
              <w:t>18</w:t>
            </w:r>
          </w:p>
        </w:tc>
        <w:tc>
          <w:tcPr>
            <w:tcW w:w="407"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15</w:t>
            </w:r>
            <w:r>
              <w:rPr>
                <w:rFonts w:hint="eastAsia" w:ascii="仿宋" w:hAnsi="仿宋" w:eastAsia="仿宋" w:cs="仿宋"/>
                <w:b/>
                <w:bCs/>
                <w:color w:val="000000"/>
                <w:kern w:val="0"/>
                <w:sz w:val="21"/>
                <w:szCs w:val="21"/>
                <w:u w:val="none"/>
                <w:lang w:val="en-US" w:eastAsia="zh-CN" w:bidi="ar"/>
              </w:rPr>
              <w:t>5</w:t>
            </w:r>
            <w:r>
              <w:rPr>
                <w:rFonts w:hint="eastAsia" w:ascii="仿宋" w:hAnsi="仿宋" w:eastAsia="仿宋" w:cs="仿宋"/>
                <w:b/>
                <w:bCs/>
                <w:color w:val="000000"/>
                <w:kern w:val="0"/>
                <w:sz w:val="21"/>
                <w:szCs w:val="21"/>
                <w:u w:val="none"/>
                <w:lang w:bidi="ar"/>
              </w:rPr>
              <w:t>4</w:t>
            </w:r>
          </w:p>
        </w:tc>
        <w:tc>
          <w:tcPr>
            <w:tcW w:w="358"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lang w:eastAsia="zh-CN"/>
              </w:rPr>
            </w:pPr>
            <w:r>
              <w:rPr>
                <w:rFonts w:hint="eastAsia" w:ascii="仿宋" w:hAnsi="仿宋" w:eastAsia="仿宋" w:cs="仿宋"/>
                <w:b/>
                <w:bCs/>
                <w:color w:val="000000"/>
                <w:kern w:val="0"/>
                <w:sz w:val="21"/>
                <w:szCs w:val="21"/>
                <w:u w:val="none"/>
                <w:lang w:bidi="ar"/>
              </w:rPr>
              <w:t>156</w:t>
            </w:r>
            <w:r>
              <w:rPr>
                <w:rFonts w:hint="eastAsia" w:ascii="仿宋" w:hAnsi="仿宋" w:eastAsia="仿宋" w:cs="仿宋"/>
                <w:b/>
                <w:bCs/>
                <w:color w:val="000000"/>
                <w:kern w:val="0"/>
                <w:sz w:val="21"/>
                <w:szCs w:val="21"/>
                <w:u w:val="none"/>
                <w:lang w:val="en-US" w:eastAsia="zh-CN" w:bidi="ar"/>
              </w:rPr>
              <w:t>4</w:t>
            </w:r>
          </w:p>
        </w:tc>
        <w:tc>
          <w:tcPr>
            <w:tcW w:w="251"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31</w:t>
            </w:r>
          </w:p>
        </w:tc>
        <w:tc>
          <w:tcPr>
            <w:tcW w:w="283"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30</w:t>
            </w:r>
          </w:p>
        </w:tc>
        <w:tc>
          <w:tcPr>
            <w:tcW w:w="299"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22</w:t>
            </w:r>
          </w:p>
        </w:tc>
        <w:tc>
          <w:tcPr>
            <w:tcW w:w="312"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22</w:t>
            </w:r>
          </w:p>
        </w:tc>
        <w:tc>
          <w:tcPr>
            <w:tcW w:w="366"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0" w:firstLineChars="0"/>
              <w:jc w:val="center"/>
              <w:textAlignment w:val="center"/>
              <w:rPr>
                <w:rFonts w:hint="eastAsia" w:ascii="仿宋" w:hAnsi="仿宋" w:eastAsia="仿宋" w:cs="仿宋"/>
                <w:b/>
                <w:bCs/>
                <w:color w:val="000000"/>
                <w:sz w:val="21"/>
                <w:szCs w:val="21"/>
                <w:u w:val="none"/>
              </w:rPr>
            </w:pPr>
            <w:r>
              <w:rPr>
                <w:rFonts w:hint="eastAsia" w:ascii="仿宋" w:hAnsi="仿宋" w:eastAsia="仿宋" w:cs="仿宋"/>
                <w:b/>
                <w:bCs/>
                <w:color w:val="000000"/>
                <w:kern w:val="0"/>
                <w:sz w:val="21"/>
                <w:szCs w:val="21"/>
                <w:u w:val="none"/>
                <w:lang w:bidi="ar"/>
              </w:rPr>
              <w:t>23</w:t>
            </w:r>
          </w:p>
        </w:tc>
        <w:tc>
          <w:tcPr>
            <w:tcW w:w="334" w:type="pct"/>
            <w:tcBorders>
              <w:top w:val="nil"/>
              <w:left w:val="nil"/>
              <w:bottom w:val="single" w:color="000000" w:sz="8" w:space="0"/>
              <w:right w:val="single" w:color="000000" w:sz="8" w:space="0"/>
            </w:tcBorders>
            <w:noWrap w:val="0"/>
            <w:vAlign w:val="center"/>
          </w:tcPr>
          <w:p>
            <w:pPr>
              <w:widowControl/>
              <w:adjustRightInd w:val="0"/>
              <w:snapToGrid w:val="0"/>
              <w:spacing w:line="192" w:lineRule="auto"/>
              <w:ind w:firstLine="420"/>
              <w:rPr>
                <w:rFonts w:hint="eastAsia" w:ascii="仿宋" w:hAnsi="仿宋" w:eastAsia="仿宋" w:cs="仿宋"/>
                <w:color w:val="000000"/>
                <w:sz w:val="21"/>
                <w:szCs w:val="21"/>
                <w:u w:val="none"/>
              </w:rPr>
            </w:pPr>
          </w:p>
        </w:tc>
      </w:tr>
    </w:tbl>
    <w:p>
      <w:pPr>
        <w:pStyle w:val="3"/>
        <w:ind w:left="0" w:leftChars="0" w:firstLine="562" w:firstLineChars="200"/>
        <w:rPr>
          <w:rFonts w:hint="eastAsia" w:ascii="黑体" w:hAnsi="黑体" w:cs="黑体"/>
          <w:u w:val="none"/>
        </w:rPr>
      </w:pPr>
      <w:bookmarkStart w:id="136" w:name="_Toc21904"/>
      <w:bookmarkStart w:id="137" w:name="_Toc20921"/>
      <w:bookmarkStart w:id="138" w:name="_Toc17385"/>
      <w:bookmarkStart w:id="139" w:name="_Toc31812"/>
      <w:bookmarkStart w:id="140" w:name="_Toc19241"/>
      <w:r>
        <w:rPr>
          <w:rFonts w:hint="eastAsia" w:ascii="黑体" w:hAnsi="黑体" w:cs="黑体"/>
          <w:u w:val="none"/>
        </w:rPr>
        <w:t>八、实施保障</w:t>
      </w:r>
      <w:bookmarkEnd w:id="136"/>
      <w:bookmarkEnd w:id="137"/>
      <w:bookmarkEnd w:id="138"/>
      <w:bookmarkEnd w:id="139"/>
      <w:bookmarkEnd w:id="140"/>
    </w:p>
    <w:p>
      <w:pPr>
        <w:pStyle w:val="4"/>
        <w:ind w:firstLine="482"/>
        <w:rPr>
          <w:rFonts w:hint="eastAsia"/>
          <w:u w:val="none"/>
        </w:rPr>
      </w:pPr>
      <w:bookmarkStart w:id="141" w:name="_Toc24590"/>
      <w:bookmarkStart w:id="142" w:name="_Toc32065"/>
      <w:bookmarkStart w:id="143" w:name="_Toc147"/>
      <w:bookmarkStart w:id="144" w:name="_Toc16914"/>
      <w:bookmarkStart w:id="145" w:name="_Toc20080"/>
      <w:r>
        <w:rPr>
          <w:rFonts w:hint="eastAsia"/>
          <w:u w:val="none"/>
        </w:rPr>
        <w:t>（一）师资队伍</w:t>
      </w:r>
      <w:bookmarkEnd w:id="141"/>
      <w:bookmarkEnd w:id="142"/>
      <w:bookmarkEnd w:id="143"/>
      <w:bookmarkEnd w:id="144"/>
      <w:bookmarkEnd w:id="145"/>
    </w:p>
    <w:p>
      <w:pPr>
        <w:pStyle w:val="17"/>
        <w:adjustRightInd w:val="0"/>
        <w:snapToGrid w:val="0"/>
        <w:ind w:firstLine="482"/>
        <w:rPr>
          <w:rFonts w:hint="eastAsia" w:ascii="楷体" w:hAnsi="楷体" w:cs="楷体"/>
          <w:sz w:val="24"/>
          <w:szCs w:val="24"/>
          <w:u w:val="none"/>
        </w:rPr>
      </w:pPr>
      <w:bookmarkStart w:id="146" w:name="_Toc20291"/>
      <w:bookmarkStart w:id="147" w:name="_Toc12505"/>
      <w:bookmarkStart w:id="148" w:name="_Toc16867411"/>
      <w:bookmarkStart w:id="149" w:name="_Toc16865451"/>
      <w:r>
        <w:rPr>
          <w:rFonts w:hint="eastAsia" w:ascii="楷体" w:hAnsi="楷体" w:cs="楷体"/>
          <w:sz w:val="24"/>
          <w:szCs w:val="24"/>
          <w:u w:val="none"/>
        </w:rPr>
        <w:t>1.专业教师任职资格</w:t>
      </w:r>
      <w:bookmarkEnd w:id="146"/>
      <w:bookmarkEnd w:id="147"/>
      <w:bookmarkEnd w:id="148"/>
      <w:bookmarkEnd w:id="149"/>
    </w:p>
    <w:p>
      <w:pPr>
        <w:adjustRightInd w:val="0"/>
        <w:snapToGrid w:val="0"/>
        <w:ind w:firstLine="480"/>
        <w:rPr>
          <w:rFonts w:hint="eastAsia" w:ascii="宋体" w:hAnsi="宋体"/>
          <w:szCs w:val="24"/>
          <w:u w:val="none"/>
        </w:rPr>
      </w:pPr>
      <w:r>
        <w:rPr>
          <w:rFonts w:hint="eastAsia" w:ascii="宋体" w:hAnsi="宋体"/>
          <w:szCs w:val="24"/>
          <w:u w:val="none"/>
        </w:rPr>
        <w:t>（1）具有本专业或相关专业大学本科及以上学历；</w:t>
      </w:r>
    </w:p>
    <w:p>
      <w:pPr>
        <w:adjustRightInd w:val="0"/>
        <w:snapToGrid w:val="0"/>
        <w:ind w:firstLine="480"/>
        <w:rPr>
          <w:rFonts w:hint="eastAsia" w:ascii="宋体" w:hAnsi="宋体"/>
          <w:szCs w:val="24"/>
          <w:u w:val="none"/>
        </w:rPr>
      </w:pPr>
      <w:r>
        <w:rPr>
          <w:rFonts w:hint="eastAsia" w:ascii="宋体" w:hAnsi="宋体"/>
          <w:szCs w:val="24"/>
          <w:u w:val="none"/>
        </w:rPr>
        <w:t>（2）具有高校教师资格证书，中级及以上职业资格证书或相应技术职称；</w:t>
      </w:r>
    </w:p>
    <w:p>
      <w:pPr>
        <w:adjustRightInd w:val="0"/>
        <w:snapToGrid w:val="0"/>
        <w:ind w:firstLine="480"/>
        <w:rPr>
          <w:rFonts w:hint="eastAsia" w:ascii="宋体" w:hAnsi="宋体"/>
          <w:szCs w:val="24"/>
          <w:u w:val="none"/>
        </w:rPr>
      </w:pPr>
      <w:r>
        <w:rPr>
          <w:rFonts w:hint="eastAsia" w:ascii="宋体" w:hAnsi="宋体"/>
          <w:szCs w:val="24"/>
          <w:u w:val="none"/>
        </w:rPr>
        <w:t>（3）具有良好的思想道德品德修养，遵守职业道德，为人师表；热爱关心学生；</w:t>
      </w:r>
    </w:p>
    <w:p>
      <w:pPr>
        <w:adjustRightInd w:val="0"/>
        <w:snapToGrid w:val="0"/>
        <w:ind w:firstLine="480"/>
        <w:rPr>
          <w:rFonts w:hint="eastAsia" w:ascii="宋体" w:hAnsi="宋体"/>
          <w:szCs w:val="24"/>
          <w:u w:val="none"/>
        </w:rPr>
      </w:pPr>
      <w:r>
        <w:rPr>
          <w:rFonts w:hint="eastAsia" w:ascii="宋体" w:hAnsi="宋体"/>
          <w:szCs w:val="24"/>
          <w:u w:val="none"/>
        </w:rPr>
        <w:t>（4）具备本专业教学需要的扎实的专业知识和专业实践技能，并能在教学过程中灵活运用；</w:t>
      </w:r>
    </w:p>
    <w:p>
      <w:pPr>
        <w:adjustRightInd w:val="0"/>
        <w:snapToGrid w:val="0"/>
        <w:ind w:firstLine="480"/>
        <w:rPr>
          <w:rFonts w:hint="eastAsia" w:ascii="宋体" w:hAnsi="宋体"/>
          <w:szCs w:val="24"/>
          <w:u w:val="none"/>
        </w:rPr>
      </w:pPr>
      <w:r>
        <w:rPr>
          <w:rFonts w:hint="eastAsia" w:ascii="宋体" w:hAnsi="宋体"/>
          <w:szCs w:val="24"/>
          <w:u w:val="none"/>
        </w:rPr>
        <w:t>（5）具备基于工学结合课程开发和教学组织设计能力、教学研究能力；</w:t>
      </w:r>
    </w:p>
    <w:p>
      <w:pPr>
        <w:adjustRightInd w:val="0"/>
        <w:snapToGrid w:val="0"/>
        <w:ind w:firstLine="480"/>
        <w:rPr>
          <w:rFonts w:hint="eastAsia" w:ascii="宋体" w:hAnsi="宋体"/>
          <w:szCs w:val="24"/>
          <w:u w:val="none"/>
        </w:rPr>
      </w:pPr>
      <w:r>
        <w:rPr>
          <w:rFonts w:hint="eastAsia" w:ascii="宋体" w:hAnsi="宋体"/>
          <w:szCs w:val="24"/>
          <w:u w:val="none"/>
        </w:rPr>
        <w:t>（6）熟悉所任教专业与对应的产业、行业、企业、职业（岗位）、就业的相互依联程度，熟悉本行业的技术生产情况及发展趋势，能及时将企业各项新方法和企业管理新理念补充进课程。长期与3个以上大中型企业保持密切联系。近3年中应有不少于6个月的企业一线实践经历。（工作不足3年的教师可适当放宽要求。）</w:t>
      </w:r>
    </w:p>
    <w:p>
      <w:pPr>
        <w:pStyle w:val="17"/>
        <w:adjustRightInd w:val="0"/>
        <w:snapToGrid w:val="0"/>
        <w:ind w:firstLine="482"/>
        <w:rPr>
          <w:rFonts w:hint="eastAsia" w:ascii="楷体" w:hAnsi="楷体" w:cs="楷体"/>
          <w:sz w:val="24"/>
          <w:szCs w:val="24"/>
          <w:u w:val="none"/>
        </w:rPr>
      </w:pPr>
      <w:bookmarkStart w:id="150" w:name="_Toc16865452"/>
      <w:bookmarkStart w:id="151" w:name="_Toc16867412"/>
      <w:bookmarkStart w:id="152" w:name="_Toc22794"/>
      <w:bookmarkStart w:id="153" w:name="_Toc21734"/>
      <w:r>
        <w:rPr>
          <w:rFonts w:hint="eastAsia" w:ascii="楷体" w:hAnsi="楷体" w:cs="楷体"/>
          <w:sz w:val="24"/>
          <w:szCs w:val="24"/>
          <w:u w:val="none"/>
        </w:rPr>
        <w:t>2.专业教学团队要求</w:t>
      </w:r>
      <w:bookmarkEnd w:id="150"/>
      <w:bookmarkEnd w:id="151"/>
      <w:bookmarkEnd w:id="152"/>
      <w:bookmarkEnd w:id="153"/>
    </w:p>
    <w:p>
      <w:pPr>
        <w:pStyle w:val="36"/>
        <w:adjustRightInd w:val="0"/>
        <w:snapToGrid w:val="0"/>
        <w:ind w:firstLine="480"/>
        <w:rPr>
          <w:rFonts w:hint="eastAsia" w:ascii="宋体" w:hAnsi="宋体" w:cs="宋体"/>
          <w:bCs/>
          <w:u w:val="none"/>
        </w:rPr>
      </w:pPr>
      <w:r>
        <w:rPr>
          <w:rFonts w:hint="eastAsia" w:ascii="宋体" w:hAnsi="宋体" w:cs="宋体"/>
          <w:bCs/>
          <w:u w:val="none"/>
        </w:rPr>
        <w:t>（1）有双专业带头人，其中1人应为来自行业企业的专业技术人员或专家；</w:t>
      </w:r>
    </w:p>
    <w:p>
      <w:pPr>
        <w:pStyle w:val="36"/>
        <w:adjustRightInd w:val="0"/>
        <w:snapToGrid w:val="0"/>
        <w:ind w:firstLine="480"/>
        <w:rPr>
          <w:rFonts w:hint="eastAsia" w:ascii="宋体" w:hAnsi="宋体" w:cs="宋体"/>
          <w:bCs/>
          <w:u w:val="none"/>
        </w:rPr>
      </w:pPr>
      <w:r>
        <w:rPr>
          <w:rFonts w:hint="eastAsia" w:ascii="宋体" w:hAnsi="宋体" w:cs="宋体"/>
          <w:bCs/>
          <w:u w:val="none"/>
        </w:rPr>
        <w:t>（2）每门课程都有讲师及以上职称的教师担任课程负责人；</w:t>
      </w:r>
    </w:p>
    <w:p>
      <w:pPr>
        <w:adjustRightInd w:val="0"/>
        <w:snapToGrid w:val="0"/>
        <w:ind w:firstLine="480"/>
        <w:rPr>
          <w:rFonts w:hint="eastAsia" w:ascii="宋体" w:hAnsi="宋体"/>
          <w:szCs w:val="24"/>
          <w:u w:val="none"/>
        </w:rPr>
      </w:pPr>
      <w:r>
        <w:rPr>
          <w:rFonts w:hint="eastAsia" w:ascii="宋体" w:hAnsi="宋体" w:cs="宋体"/>
          <w:bCs/>
          <w:u w:val="none"/>
        </w:rPr>
        <w:t>（3）专业教师的数量和结构能满足专业办学规模，其中，实践教学中来自企业一线的兼职教师应占专业教师总数的50%。</w:t>
      </w:r>
    </w:p>
    <w:p>
      <w:pPr>
        <w:pStyle w:val="4"/>
        <w:ind w:firstLine="482"/>
        <w:rPr>
          <w:rFonts w:hint="eastAsia"/>
          <w:u w:val="none"/>
        </w:rPr>
      </w:pPr>
      <w:bookmarkStart w:id="154" w:name="_Toc7627"/>
      <w:bookmarkStart w:id="155" w:name="_Toc5898"/>
      <w:bookmarkStart w:id="156" w:name="_Toc5213"/>
      <w:bookmarkStart w:id="157" w:name="_Toc10015"/>
      <w:bookmarkStart w:id="158" w:name="_Toc3737"/>
      <w:r>
        <w:rPr>
          <w:rFonts w:hint="eastAsia"/>
          <w:u w:val="none"/>
        </w:rPr>
        <w:t>（二）教学设施</w:t>
      </w:r>
      <w:bookmarkEnd w:id="154"/>
      <w:bookmarkEnd w:id="155"/>
      <w:bookmarkEnd w:id="156"/>
      <w:bookmarkEnd w:id="157"/>
      <w:bookmarkEnd w:id="158"/>
    </w:p>
    <w:p>
      <w:pPr>
        <w:adjustRightInd w:val="0"/>
        <w:snapToGrid w:val="0"/>
        <w:ind w:firstLine="480"/>
        <w:rPr>
          <w:rFonts w:hint="eastAsia" w:ascii="宋体" w:hAnsi="宋体"/>
          <w:szCs w:val="24"/>
          <w:u w:val="none"/>
        </w:rPr>
      </w:pPr>
      <w:r>
        <w:rPr>
          <w:rFonts w:hint="eastAsia" w:ascii="宋体" w:hAnsi="宋体"/>
          <w:szCs w:val="24"/>
          <w:u w:val="none"/>
        </w:rPr>
        <w:t>建筑经济管理专业在校内设定相关实训室，配备实训设备，安装各种实训软件。校外实习基地以合肥为中心覆盖省内有关市县中心城市，校外设有校企合作综合实训基地6个，充分满足学生实习实训和实践需求。</w:t>
      </w:r>
    </w:p>
    <w:p>
      <w:pPr>
        <w:adjustRightInd w:val="0"/>
        <w:snapToGrid w:val="0"/>
        <w:ind w:firstLine="0" w:firstLineChars="0"/>
        <w:jc w:val="center"/>
        <w:rPr>
          <w:rFonts w:hint="eastAsia" w:ascii="黑体" w:hAnsi="黑体" w:eastAsia="黑体"/>
          <w:b/>
          <w:sz w:val="21"/>
          <w:szCs w:val="21"/>
          <w:u w:val="none"/>
        </w:rPr>
      </w:pPr>
      <w:r>
        <w:rPr>
          <w:rFonts w:hint="eastAsia" w:ascii="黑体" w:hAnsi="黑体" w:eastAsia="黑体"/>
          <w:b/>
          <w:sz w:val="21"/>
          <w:szCs w:val="21"/>
          <w:u w:val="none"/>
        </w:rPr>
        <w:t>表8-1 实习实训基地一览表</w:t>
      </w:r>
    </w:p>
    <w:tbl>
      <w:tblPr>
        <w:tblStyle w:val="18"/>
        <w:tblpPr w:leftFromText="180" w:rightFromText="180" w:vertAnchor="text" w:horzAnchor="page" w:tblpX="1711"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3561"/>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1083"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240" w:lineRule="exact"/>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 xml:space="preserve">   项目</w:t>
            </w:r>
          </w:p>
          <w:p>
            <w:pPr>
              <w:spacing w:line="240" w:lineRule="exact"/>
              <w:ind w:firstLine="0" w:firstLineChars="0"/>
              <w:rPr>
                <w:rFonts w:hint="eastAsia" w:ascii="仿宋" w:hAnsi="仿宋" w:eastAsia="仿宋" w:cs="仿宋"/>
                <w:b/>
                <w:sz w:val="21"/>
                <w:szCs w:val="21"/>
                <w:u w:val="none"/>
              </w:rPr>
            </w:pPr>
            <w:r>
              <w:rPr>
                <w:rFonts w:hint="eastAsia" w:ascii="仿宋" w:hAnsi="仿宋" w:eastAsia="仿宋" w:cs="仿宋"/>
                <w:b/>
                <w:sz w:val="21"/>
                <w:szCs w:val="21"/>
                <w:u w:val="none"/>
              </w:rPr>
              <w:t>分类</w:t>
            </w: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hint="eastAsia" w:ascii="仿宋" w:hAnsi="仿宋" w:eastAsia="仿宋" w:cs="仿宋"/>
                <w:b/>
                <w:sz w:val="21"/>
                <w:szCs w:val="21"/>
                <w:u w:val="none"/>
              </w:rPr>
            </w:pPr>
            <w:r>
              <w:rPr>
                <w:rFonts w:hint="eastAsia" w:ascii="仿宋" w:hAnsi="仿宋" w:eastAsia="仿宋" w:cs="仿宋"/>
                <w:b/>
                <w:sz w:val="21"/>
                <w:szCs w:val="21"/>
                <w:u w:val="none"/>
              </w:rPr>
              <w:t>实训基地名称</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hint="eastAsia" w:ascii="仿宋" w:hAnsi="仿宋" w:eastAsia="仿宋" w:cs="仿宋"/>
                <w:b/>
                <w:sz w:val="21"/>
                <w:szCs w:val="21"/>
                <w:u w:val="none"/>
              </w:rPr>
            </w:pPr>
            <w:r>
              <w:rPr>
                <w:rFonts w:hint="eastAsia" w:ascii="仿宋" w:hAnsi="仿宋" w:eastAsia="仿宋" w:cs="仿宋"/>
                <w:b/>
                <w:kern w:val="0"/>
                <w:sz w:val="21"/>
                <w:szCs w:val="21"/>
                <w:u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3"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校内</w:t>
            </w: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工程模拟实验室</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模拟招投标、合同管理、造价咨询业务模拟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3"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BIM综合实训室</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建筑CAD、Revit、工程造价软件操作、BIM5D综合模拟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8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工程综合实验室</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建筑材料实验模拟、力学实验模拟、结构试验模拟、施工场地布置模拟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8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工程绘图实验室</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83"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工程测量实训室</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水准仪、经纬仪、全站仪的操作和使用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3"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校外</w:t>
            </w: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安徽世强工程项目管理有限公司</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项目管理、工程监理、造价咨询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8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安徽兴业工程咨询有限公司实习实训基地</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项目管理、工程监理、造价咨询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安徽湖滨建设集团房地产开发有限公司实习实训基地</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8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安徽建清工程咨询有限公司实习实训基地</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项目管理、工程监理、造价咨询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83" w:type="dxa"/>
            <w:vMerge w:val="continue"/>
            <w:tcBorders>
              <w:left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安徽华筑智诚建筑科技有限公司</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建筑信息化、BIM综合应用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83" w:type="dxa"/>
            <w:vMerge w:val="continue"/>
            <w:tcBorders>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hint="eastAsia" w:ascii="仿宋" w:hAnsi="仿宋" w:eastAsia="仿宋" w:cs="仿宋"/>
                <w:sz w:val="21"/>
                <w:szCs w:val="21"/>
                <w:u w:val="none"/>
              </w:rPr>
            </w:pPr>
          </w:p>
        </w:tc>
        <w:tc>
          <w:tcPr>
            <w:tcW w:w="35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安徽一砖一瓦建筑科技有限公司</w:t>
            </w:r>
          </w:p>
        </w:tc>
        <w:tc>
          <w:tcPr>
            <w:tcW w:w="42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建筑信息化、BIM综合应用</w:t>
            </w:r>
          </w:p>
        </w:tc>
      </w:tr>
    </w:tbl>
    <w:p>
      <w:pPr>
        <w:pStyle w:val="4"/>
        <w:ind w:firstLine="482"/>
        <w:rPr>
          <w:rFonts w:hint="eastAsia"/>
          <w:u w:val="none"/>
        </w:rPr>
      </w:pPr>
      <w:bookmarkStart w:id="159" w:name="_Toc6133"/>
      <w:bookmarkStart w:id="160" w:name="_Toc12970"/>
      <w:bookmarkStart w:id="161" w:name="_Toc12887"/>
      <w:bookmarkStart w:id="162" w:name="_Toc14516"/>
      <w:bookmarkStart w:id="163" w:name="_Toc8964"/>
      <w:r>
        <w:rPr>
          <w:rFonts w:hint="eastAsia"/>
          <w:u w:val="none"/>
        </w:rPr>
        <w:t>（三）教学资源</w:t>
      </w:r>
      <w:bookmarkEnd w:id="159"/>
      <w:bookmarkEnd w:id="160"/>
      <w:bookmarkEnd w:id="161"/>
      <w:bookmarkEnd w:id="162"/>
      <w:bookmarkEnd w:id="163"/>
    </w:p>
    <w:p>
      <w:pPr>
        <w:pStyle w:val="17"/>
        <w:adjustRightInd w:val="0"/>
        <w:snapToGrid w:val="0"/>
        <w:ind w:firstLine="482"/>
        <w:rPr>
          <w:rFonts w:hint="eastAsia" w:ascii="楷体" w:hAnsi="楷体" w:cs="楷体"/>
          <w:sz w:val="24"/>
          <w:szCs w:val="24"/>
          <w:u w:val="none"/>
        </w:rPr>
      </w:pPr>
      <w:bookmarkStart w:id="164" w:name="_Toc16867415"/>
      <w:bookmarkStart w:id="165" w:name="_Toc24144"/>
      <w:bookmarkStart w:id="166" w:name="_Toc16865455"/>
      <w:bookmarkStart w:id="167" w:name="_Toc8312"/>
      <w:r>
        <w:rPr>
          <w:rFonts w:hint="eastAsia" w:ascii="楷体" w:hAnsi="楷体" w:cs="楷体"/>
          <w:sz w:val="24"/>
          <w:szCs w:val="24"/>
          <w:u w:val="none"/>
        </w:rPr>
        <w:t>1.</w:t>
      </w:r>
      <w:r>
        <w:rPr>
          <w:rFonts w:hint="eastAsia" w:ascii="楷体" w:hAnsi="楷体" w:cs="楷体"/>
          <w:sz w:val="24"/>
          <w:szCs w:val="24"/>
          <w:u w:val="none"/>
        </w:rPr>
        <w:tab/>
      </w:r>
      <w:r>
        <w:rPr>
          <w:rFonts w:hint="eastAsia" w:ascii="楷体" w:hAnsi="楷体" w:cs="楷体"/>
          <w:sz w:val="24"/>
          <w:szCs w:val="24"/>
          <w:u w:val="none"/>
        </w:rPr>
        <w:t>教材选用</w:t>
      </w:r>
      <w:bookmarkEnd w:id="164"/>
      <w:bookmarkEnd w:id="165"/>
      <w:bookmarkEnd w:id="166"/>
      <w:r>
        <w:rPr>
          <w:rFonts w:hint="eastAsia" w:ascii="楷体" w:hAnsi="楷体" w:cs="楷体"/>
          <w:sz w:val="24"/>
          <w:szCs w:val="24"/>
          <w:u w:val="none"/>
        </w:rPr>
        <w:t>基本要求</w:t>
      </w:r>
      <w:bookmarkEnd w:id="167"/>
    </w:p>
    <w:p>
      <w:pPr>
        <w:ind w:firstLine="480"/>
        <w:rPr>
          <w:rFonts w:hint="eastAsia" w:ascii="宋体" w:hAnsi="宋体"/>
          <w:szCs w:val="24"/>
          <w:u w:val="none"/>
        </w:rPr>
      </w:pPr>
      <w:r>
        <w:rPr>
          <w:rFonts w:hint="eastAsia" w:ascii="宋体" w:hAnsi="宋体"/>
          <w:szCs w:val="24"/>
          <w:u w:val="none"/>
        </w:rPr>
        <w:t>（1）必须选用国家统编的思想政治理论课教材、马克思主义理论研究和建设工程重点教材。</w:t>
      </w:r>
    </w:p>
    <w:p>
      <w:pPr>
        <w:ind w:firstLine="480"/>
        <w:rPr>
          <w:rFonts w:hint="eastAsia" w:ascii="宋体" w:hAnsi="宋体"/>
          <w:szCs w:val="24"/>
          <w:u w:val="none"/>
        </w:rPr>
      </w:pPr>
      <w:r>
        <w:rPr>
          <w:rFonts w:hint="eastAsia" w:ascii="宋体" w:hAnsi="宋体"/>
          <w:szCs w:val="24"/>
          <w:u w:val="none"/>
        </w:rPr>
        <w:t>（2）学院专业核心课程和学院公共基础课程教材原则上从国家和省级教育行政部门发布的规划教材目录中选用。</w:t>
      </w:r>
    </w:p>
    <w:p>
      <w:pPr>
        <w:ind w:firstLine="480"/>
        <w:rPr>
          <w:rFonts w:hint="eastAsia" w:ascii="宋体" w:hAnsi="宋体"/>
          <w:szCs w:val="24"/>
          <w:u w:val="none"/>
        </w:rPr>
      </w:pPr>
      <w:r>
        <w:rPr>
          <w:rFonts w:hint="eastAsia" w:ascii="宋体" w:hAnsi="宋体"/>
          <w:szCs w:val="24"/>
          <w:u w:val="none"/>
        </w:rPr>
        <w:t>（3）国家和省级规划目录中没有的教材，可在职业院校教材信息库选用，优先选用近几年省级及以上优秀获奖教材。</w:t>
      </w:r>
    </w:p>
    <w:p>
      <w:pPr>
        <w:ind w:firstLine="480"/>
        <w:rPr>
          <w:rFonts w:hint="eastAsia" w:ascii="宋体" w:hAnsi="宋体"/>
          <w:szCs w:val="24"/>
          <w:u w:val="none"/>
        </w:rPr>
      </w:pPr>
      <w:r>
        <w:rPr>
          <w:rFonts w:hint="eastAsia" w:ascii="宋体" w:hAnsi="宋体"/>
          <w:szCs w:val="24"/>
          <w:u w:val="none"/>
        </w:rPr>
        <w:t>（4）优先使用经审核批准的，除（一）（二）（三）外的学院学科专业团队和个人编写的反映自身特色的校本教材，或校企合作共同开发的“双元”教材。</w:t>
      </w:r>
    </w:p>
    <w:p>
      <w:pPr>
        <w:ind w:firstLine="480"/>
        <w:rPr>
          <w:rFonts w:hint="eastAsia" w:ascii="宋体" w:hAnsi="宋体"/>
          <w:szCs w:val="24"/>
          <w:u w:val="none"/>
        </w:rPr>
      </w:pPr>
      <w:r>
        <w:rPr>
          <w:rFonts w:hint="eastAsia" w:ascii="宋体" w:hAnsi="宋体"/>
          <w:szCs w:val="24"/>
          <w:u w:val="none"/>
        </w:rPr>
        <w:t>（5）不得以岗位培训教材取代专业课程教材。</w:t>
      </w:r>
    </w:p>
    <w:p>
      <w:pPr>
        <w:ind w:firstLine="480"/>
        <w:rPr>
          <w:rFonts w:hint="eastAsia" w:ascii="宋体" w:hAnsi="宋体"/>
          <w:szCs w:val="24"/>
          <w:u w:val="none"/>
        </w:rPr>
      </w:pPr>
      <w:r>
        <w:rPr>
          <w:rFonts w:hint="eastAsia" w:ascii="宋体" w:hAnsi="宋体"/>
          <w:szCs w:val="24"/>
          <w:u w:val="none"/>
        </w:rPr>
        <w:t>（6）选用的教材必须是通过审核的版本，擅自更改内容的教材不得选用，未按照规定程序取得审核认定意见的教材不得选用；不得选用盗版、盗印教材。若选用盗版、盗印教材，将按照教材订购合同追究教材采购公司的相关责任。</w:t>
      </w:r>
    </w:p>
    <w:p>
      <w:pPr>
        <w:pStyle w:val="17"/>
        <w:adjustRightInd w:val="0"/>
        <w:snapToGrid w:val="0"/>
        <w:ind w:firstLine="482"/>
        <w:rPr>
          <w:rFonts w:hint="eastAsia" w:ascii="楷体" w:hAnsi="楷体" w:cs="楷体"/>
          <w:sz w:val="24"/>
          <w:szCs w:val="24"/>
          <w:u w:val="none"/>
        </w:rPr>
      </w:pPr>
      <w:bookmarkStart w:id="168" w:name="_Toc16865456"/>
      <w:bookmarkStart w:id="169" w:name="_Toc28958"/>
      <w:bookmarkStart w:id="170" w:name="_Toc16867416"/>
      <w:bookmarkStart w:id="171" w:name="_Toc3131"/>
      <w:r>
        <w:rPr>
          <w:rFonts w:hint="eastAsia" w:ascii="楷体" w:hAnsi="楷体" w:cs="楷体"/>
          <w:sz w:val="24"/>
          <w:szCs w:val="24"/>
          <w:u w:val="none"/>
        </w:rPr>
        <w:t>2.数字资源配备</w:t>
      </w:r>
      <w:bookmarkEnd w:id="168"/>
      <w:bookmarkEnd w:id="169"/>
      <w:bookmarkEnd w:id="170"/>
      <w:bookmarkEnd w:id="171"/>
    </w:p>
    <w:p>
      <w:pPr>
        <w:adjustRightInd w:val="0"/>
        <w:snapToGrid w:val="0"/>
        <w:ind w:firstLine="480"/>
        <w:rPr>
          <w:rFonts w:hint="eastAsia" w:ascii="宋体" w:hAnsi="宋体"/>
          <w:szCs w:val="24"/>
          <w:u w:val="none"/>
        </w:rPr>
      </w:pPr>
      <w:r>
        <w:rPr>
          <w:rFonts w:hint="eastAsia" w:ascii="宋体" w:hAnsi="宋体"/>
          <w:szCs w:val="24"/>
          <w:u w:val="none"/>
        </w:rPr>
        <w:t>充分利用专业教学资源库平台、在线开放课程及网络课程平台，结合建筑经济信息化管理专业特色，采用网络教学手段，大力加强数字化教学资源建设，鼓励教师采用线上线下结合的方式教学。</w:t>
      </w:r>
    </w:p>
    <w:p>
      <w:pPr>
        <w:pStyle w:val="4"/>
        <w:ind w:firstLine="482"/>
        <w:rPr>
          <w:rFonts w:hint="eastAsia"/>
          <w:u w:val="none"/>
        </w:rPr>
      </w:pPr>
      <w:bookmarkStart w:id="172" w:name="_Toc23014"/>
      <w:bookmarkStart w:id="173" w:name="_Toc2992"/>
      <w:bookmarkStart w:id="174" w:name="_Toc21768"/>
      <w:bookmarkStart w:id="175" w:name="_Toc10865"/>
      <w:bookmarkStart w:id="176" w:name="_Toc30923"/>
      <w:r>
        <w:rPr>
          <w:rFonts w:hint="eastAsia"/>
          <w:u w:val="none"/>
        </w:rPr>
        <w:t>（四）教学方法</w:t>
      </w:r>
      <w:bookmarkEnd w:id="172"/>
      <w:bookmarkEnd w:id="173"/>
      <w:bookmarkEnd w:id="174"/>
      <w:bookmarkEnd w:id="175"/>
      <w:bookmarkEnd w:id="176"/>
    </w:p>
    <w:p>
      <w:pPr>
        <w:adjustRightInd w:val="0"/>
        <w:snapToGrid w:val="0"/>
        <w:ind w:firstLine="480"/>
        <w:rPr>
          <w:rFonts w:hint="eastAsia" w:ascii="宋体" w:hAnsi="宋体"/>
          <w:szCs w:val="24"/>
          <w:u w:val="none"/>
        </w:rPr>
      </w:pPr>
      <w:r>
        <w:rPr>
          <w:rFonts w:hint="eastAsia" w:ascii="宋体" w:hAnsi="宋体"/>
          <w:szCs w:val="24"/>
          <w:u w:val="none"/>
        </w:rPr>
        <w:t>为适应课程建设需要，应组织教师加强学习，更新观察，建构科学、先进的教学方法与手段改革，积极拓展新的考试模式，提高教学质量。</w:t>
      </w:r>
    </w:p>
    <w:p>
      <w:pPr>
        <w:adjustRightInd w:val="0"/>
        <w:snapToGrid w:val="0"/>
        <w:ind w:firstLine="480"/>
        <w:rPr>
          <w:rFonts w:hint="eastAsia" w:ascii="宋体" w:hAnsi="宋体"/>
          <w:szCs w:val="24"/>
          <w:u w:val="none"/>
        </w:rPr>
      </w:pPr>
      <w:r>
        <w:rPr>
          <w:rFonts w:hint="eastAsia" w:ascii="宋体" w:hAnsi="宋体"/>
          <w:szCs w:val="24"/>
          <w:u w:val="none"/>
        </w:rPr>
        <w:t>1.教学方法及内容的改革：加强慕课、微课</w:t>
      </w:r>
      <w:r>
        <w:rPr>
          <w:rFonts w:hint="eastAsia" w:ascii="宋体" w:hAnsi="宋体"/>
          <w:szCs w:val="24"/>
          <w:u w:val="none"/>
          <w:lang w:eastAsia="zh-CN"/>
        </w:rPr>
        <w:t>、</w:t>
      </w:r>
      <w:r>
        <w:rPr>
          <w:rFonts w:hint="eastAsia" w:ascii="宋体" w:hAnsi="宋体"/>
          <w:szCs w:val="24"/>
          <w:u w:val="none"/>
        </w:rPr>
        <w:t>翻转课堂教学、项目驱动教学、案例式教学、讨论式和场景式、多模式教学方法的试点实施力度。</w:t>
      </w:r>
    </w:p>
    <w:p>
      <w:pPr>
        <w:adjustRightInd w:val="0"/>
        <w:snapToGrid w:val="0"/>
        <w:ind w:firstLine="480"/>
        <w:rPr>
          <w:rFonts w:hint="eastAsia" w:ascii="宋体" w:hAnsi="宋体"/>
          <w:szCs w:val="24"/>
          <w:u w:val="none"/>
        </w:rPr>
      </w:pPr>
      <w:r>
        <w:rPr>
          <w:rFonts w:hint="eastAsia" w:ascii="宋体" w:hAnsi="宋体"/>
          <w:szCs w:val="24"/>
          <w:u w:val="none"/>
        </w:rPr>
        <w:t>2.加强实践教学环节规范，完善各种监控考核措施，提高实训效果。</w:t>
      </w:r>
    </w:p>
    <w:p>
      <w:pPr>
        <w:adjustRightInd w:val="0"/>
        <w:snapToGrid w:val="0"/>
        <w:ind w:firstLine="480"/>
        <w:rPr>
          <w:rFonts w:hint="eastAsia" w:ascii="宋体" w:hAnsi="宋体"/>
          <w:szCs w:val="24"/>
          <w:u w:val="none"/>
        </w:rPr>
      </w:pPr>
      <w:r>
        <w:rPr>
          <w:rFonts w:hint="eastAsia" w:ascii="宋体" w:hAnsi="宋体"/>
          <w:szCs w:val="24"/>
          <w:u w:val="none"/>
        </w:rPr>
        <w:t>3.加强第二课堂的建设力度，加强对学生课外指导，以技能大赛为抓手，把学生精力引导到专业学习上来。</w:t>
      </w:r>
    </w:p>
    <w:p>
      <w:pPr>
        <w:adjustRightInd w:val="0"/>
        <w:snapToGrid w:val="0"/>
        <w:ind w:firstLine="480"/>
        <w:rPr>
          <w:u w:val="none"/>
        </w:rPr>
      </w:pPr>
      <w:r>
        <w:rPr>
          <w:rFonts w:hint="eastAsia" w:ascii="宋体" w:hAnsi="宋体"/>
          <w:szCs w:val="24"/>
          <w:u w:val="none"/>
        </w:rPr>
        <w:t>4.</w:t>
      </w:r>
      <w:r>
        <w:rPr>
          <w:rFonts w:hint="eastAsia"/>
          <w:u w:val="none"/>
        </w:rPr>
        <w:t>探索在线考核与课堂考核相结合的考核方式以及机试与笔试相结合的考试方式。</w:t>
      </w:r>
    </w:p>
    <w:p>
      <w:pPr>
        <w:pStyle w:val="4"/>
        <w:ind w:firstLine="482"/>
        <w:rPr>
          <w:rFonts w:hint="eastAsia"/>
          <w:u w:val="none"/>
        </w:rPr>
      </w:pPr>
      <w:bookmarkStart w:id="177" w:name="_Toc2102"/>
      <w:bookmarkStart w:id="178" w:name="_Toc22354"/>
      <w:bookmarkStart w:id="179" w:name="_Toc24003"/>
      <w:bookmarkStart w:id="180" w:name="_Toc3160"/>
      <w:bookmarkStart w:id="181" w:name="_Toc8792"/>
      <w:r>
        <w:rPr>
          <w:rFonts w:hint="eastAsia"/>
          <w:u w:val="none"/>
        </w:rPr>
        <w:t>（五）学习评价</w:t>
      </w:r>
      <w:bookmarkEnd w:id="177"/>
      <w:bookmarkEnd w:id="178"/>
      <w:bookmarkEnd w:id="179"/>
      <w:bookmarkEnd w:id="180"/>
      <w:bookmarkEnd w:id="181"/>
    </w:p>
    <w:p>
      <w:pPr>
        <w:adjustRightInd w:val="0"/>
        <w:snapToGrid w:val="0"/>
        <w:ind w:firstLine="480"/>
        <w:rPr>
          <w:rFonts w:hint="eastAsia" w:ascii="宋体" w:hAnsi="宋体"/>
          <w:szCs w:val="24"/>
          <w:u w:val="none"/>
        </w:rPr>
      </w:pPr>
      <w:r>
        <w:rPr>
          <w:rFonts w:hint="eastAsia" w:ascii="宋体" w:hAnsi="宋体"/>
          <w:szCs w:val="24"/>
          <w:u w:val="none"/>
        </w:rPr>
        <w:t>1.加大考试改革力度，注重对学生学习和发展过程的评价，如教师要更加关注对学生日常学习和发展的评价，关注学生发展的过程，从而对学生给出科学的评价。</w:t>
      </w:r>
    </w:p>
    <w:p>
      <w:pPr>
        <w:adjustRightInd w:val="0"/>
        <w:snapToGrid w:val="0"/>
        <w:ind w:firstLine="480"/>
        <w:rPr>
          <w:rFonts w:hint="eastAsia" w:ascii="宋体" w:hAnsi="宋体"/>
          <w:szCs w:val="24"/>
          <w:u w:val="none"/>
        </w:rPr>
      </w:pPr>
      <w:r>
        <w:rPr>
          <w:rFonts w:hint="eastAsia" w:ascii="宋体" w:hAnsi="宋体"/>
          <w:szCs w:val="24"/>
          <w:u w:val="none"/>
        </w:rPr>
        <w:t>2.改革传统笔试模式，增加开卷考试课程数量，更加侧重对学生技能和综合运用知识能力的考核。</w:t>
      </w:r>
    </w:p>
    <w:p>
      <w:pPr>
        <w:adjustRightInd w:val="0"/>
        <w:snapToGrid w:val="0"/>
        <w:ind w:firstLine="480"/>
        <w:rPr>
          <w:rFonts w:hint="eastAsia" w:ascii="宋体" w:hAnsi="宋体"/>
          <w:szCs w:val="24"/>
          <w:u w:val="none"/>
        </w:rPr>
      </w:pPr>
      <w:r>
        <w:rPr>
          <w:rFonts w:hint="eastAsia" w:ascii="宋体" w:hAnsi="宋体"/>
          <w:szCs w:val="24"/>
          <w:u w:val="none"/>
        </w:rPr>
        <w:t>3.开发在线考试系统，通过自动出题、自动阅卷、学生在线阶段测验和统一考试等方式提高考试效率。</w:t>
      </w:r>
    </w:p>
    <w:p>
      <w:pPr>
        <w:adjustRightInd w:val="0"/>
        <w:snapToGrid w:val="0"/>
        <w:ind w:firstLine="480"/>
        <w:rPr>
          <w:rFonts w:hint="eastAsia" w:ascii="宋体" w:hAnsi="宋体"/>
          <w:szCs w:val="24"/>
          <w:u w:val="none"/>
        </w:rPr>
      </w:pPr>
      <w:r>
        <w:rPr>
          <w:rFonts w:hint="eastAsia" w:ascii="宋体" w:hAnsi="宋体"/>
          <w:szCs w:val="24"/>
          <w:u w:val="none"/>
        </w:rPr>
        <w:t>4.实行教考分离，为了切实提高教学质量，增强学校竞争力，强化任课教师的责任心，营造公平、公正的学习环境，大力推进教考分离，即承担考试课程教学任务的教师不为自己的授课对象出考试试题，而由有关部门指定的教师出题或从题库抽题的一种考试形式。经教研室批准，也可由任课教师组成出题小组出题。</w:t>
      </w:r>
    </w:p>
    <w:p>
      <w:pPr>
        <w:pStyle w:val="4"/>
        <w:ind w:firstLine="482"/>
        <w:rPr>
          <w:rFonts w:hint="eastAsia"/>
          <w:u w:val="none"/>
        </w:rPr>
      </w:pPr>
      <w:bookmarkStart w:id="182" w:name="_Toc11045"/>
      <w:bookmarkStart w:id="183" w:name="_Toc19367"/>
      <w:bookmarkStart w:id="184" w:name="_Toc20989"/>
      <w:bookmarkStart w:id="185" w:name="_Toc8026"/>
      <w:bookmarkStart w:id="186" w:name="_Toc9185"/>
      <w:r>
        <w:rPr>
          <w:rFonts w:hint="eastAsia"/>
          <w:u w:val="none"/>
        </w:rPr>
        <w:t>（六）质量管理</w:t>
      </w:r>
      <w:bookmarkEnd w:id="182"/>
      <w:bookmarkEnd w:id="183"/>
      <w:bookmarkEnd w:id="184"/>
      <w:bookmarkEnd w:id="185"/>
      <w:bookmarkEnd w:id="186"/>
    </w:p>
    <w:p>
      <w:pPr>
        <w:pStyle w:val="17"/>
        <w:adjustRightInd w:val="0"/>
        <w:snapToGrid w:val="0"/>
        <w:ind w:firstLine="482"/>
        <w:rPr>
          <w:rFonts w:hint="eastAsia" w:ascii="楷体" w:hAnsi="楷体" w:cs="楷体"/>
          <w:sz w:val="24"/>
          <w:szCs w:val="24"/>
          <w:u w:val="none"/>
        </w:rPr>
      </w:pPr>
      <w:bookmarkStart w:id="187" w:name="_Toc29379"/>
      <w:bookmarkStart w:id="188" w:name="_Toc16867420"/>
      <w:bookmarkStart w:id="189" w:name="_Toc27966"/>
      <w:bookmarkStart w:id="190" w:name="_Toc16865460"/>
      <w:r>
        <w:rPr>
          <w:rFonts w:hint="eastAsia" w:ascii="楷体" w:hAnsi="楷体" w:cs="楷体"/>
          <w:sz w:val="24"/>
          <w:szCs w:val="24"/>
          <w:u w:val="none"/>
        </w:rPr>
        <w:t>1.全面加强党的领导</w:t>
      </w:r>
      <w:bookmarkEnd w:id="187"/>
      <w:bookmarkEnd w:id="188"/>
      <w:bookmarkEnd w:id="189"/>
      <w:bookmarkEnd w:id="190"/>
    </w:p>
    <w:p>
      <w:pPr>
        <w:adjustRightInd w:val="0"/>
        <w:snapToGrid w:val="0"/>
        <w:ind w:firstLine="480"/>
        <w:rPr>
          <w:rFonts w:hint="eastAsia" w:ascii="宋体" w:hAnsi="宋体" w:eastAsia="宋体" w:cs="Times New Roman"/>
          <w:szCs w:val="24"/>
          <w:u w:val="none"/>
        </w:rPr>
      </w:pPr>
      <w:r>
        <w:rPr>
          <w:rFonts w:hint="eastAsia" w:ascii="宋体" w:hAnsi="宋体"/>
          <w:szCs w:val="24"/>
          <w:u w:val="none"/>
        </w:rPr>
        <w:t>在院党委的领导下，坚持以习近平新时代中国特色社会主义思想为指导，切实加强党对专业人才培养方案制订与实施工作的领导，根据学院总体发展规划以</w:t>
      </w:r>
      <w:bookmarkStart w:id="191" w:name="_Toc9203"/>
      <w:bookmarkStart w:id="192" w:name="_Toc5511"/>
      <w:r>
        <w:rPr>
          <w:rFonts w:hint="eastAsia" w:ascii="宋体" w:hAnsi="宋体" w:eastAsia="宋体" w:cs="Times New Roman"/>
          <w:szCs w:val="24"/>
          <w:u w:val="none"/>
        </w:rPr>
        <w:t>及专业建设规划，结合行业发展趋势，定期研究专业人才培养方案制订与实施，确保高质量的制定符合职业人才培养规律和符合时代要求的专业人才培养方案。</w:t>
      </w:r>
      <w:bookmarkEnd w:id="191"/>
      <w:bookmarkEnd w:id="192"/>
    </w:p>
    <w:p>
      <w:pPr>
        <w:pStyle w:val="17"/>
        <w:adjustRightInd w:val="0"/>
        <w:snapToGrid w:val="0"/>
        <w:ind w:firstLine="482"/>
        <w:rPr>
          <w:rFonts w:hint="eastAsia" w:ascii="楷体" w:hAnsi="楷体" w:cs="楷体"/>
          <w:sz w:val="24"/>
          <w:szCs w:val="24"/>
          <w:u w:val="none"/>
        </w:rPr>
      </w:pPr>
      <w:bookmarkStart w:id="193" w:name="_Toc14167"/>
      <w:bookmarkStart w:id="194" w:name="_Toc16867421"/>
      <w:bookmarkStart w:id="195" w:name="_Toc16865461"/>
      <w:bookmarkStart w:id="196" w:name="_Toc20324"/>
      <w:r>
        <w:rPr>
          <w:rFonts w:hint="eastAsia" w:ascii="楷体" w:hAnsi="楷体" w:cs="楷体"/>
          <w:sz w:val="24"/>
          <w:szCs w:val="24"/>
          <w:u w:val="none"/>
        </w:rPr>
        <w:t>2.组织开发专业课程标准和教案</w:t>
      </w:r>
      <w:bookmarkEnd w:id="193"/>
      <w:bookmarkEnd w:id="194"/>
      <w:bookmarkEnd w:id="195"/>
      <w:bookmarkEnd w:id="196"/>
    </w:p>
    <w:p>
      <w:pPr>
        <w:adjustRightInd w:val="0"/>
        <w:snapToGrid w:val="0"/>
        <w:ind w:firstLine="480"/>
        <w:rPr>
          <w:rFonts w:ascii="宋体" w:hAnsi="宋体"/>
          <w:szCs w:val="24"/>
          <w:u w:val="none"/>
        </w:rPr>
      </w:pPr>
      <w:r>
        <w:rPr>
          <w:rFonts w:hint="eastAsia" w:ascii="宋体" w:hAnsi="宋体"/>
          <w:szCs w:val="24"/>
          <w:u w:val="none"/>
        </w:rPr>
        <w:t>根据</w:t>
      </w:r>
      <w:r>
        <w:rPr>
          <w:rFonts w:ascii="宋体" w:hAnsi="宋体"/>
          <w:szCs w:val="24"/>
          <w:u w:val="none"/>
        </w:rPr>
        <w:t>专业人才培养方案总体要求，</w:t>
      </w:r>
      <w:r>
        <w:rPr>
          <w:rFonts w:hint="eastAsia" w:ascii="宋体" w:hAnsi="宋体"/>
          <w:szCs w:val="24"/>
          <w:u w:val="none"/>
        </w:rPr>
        <w:t>制（修）订专业</w:t>
      </w:r>
      <w:r>
        <w:rPr>
          <w:rFonts w:ascii="宋体" w:hAnsi="宋体"/>
          <w:szCs w:val="24"/>
          <w:u w:val="none"/>
        </w:rPr>
        <w:t>课程标准，明确课程目标，优化课程内容，规范教学过程，及时将新技术、新工艺、新规范纳入课程标准和教学内容。</w:t>
      </w:r>
      <w:r>
        <w:rPr>
          <w:rFonts w:hint="eastAsia" w:ascii="宋体" w:hAnsi="宋体"/>
          <w:szCs w:val="24"/>
          <w:u w:val="none"/>
        </w:rPr>
        <w:t>教师</w:t>
      </w:r>
      <w:r>
        <w:rPr>
          <w:rFonts w:ascii="宋体" w:hAnsi="宋体"/>
          <w:szCs w:val="24"/>
          <w:u w:val="none"/>
        </w:rPr>
        <w:t>准确把握课程教学要求，规范编写、严格执行教案，做好课程总体设计，按程序选用教材，合理运用各类教学资源，做好教学组织实施。</w:t>
      </w:r>
    </w:p>
    <w:p>
      <w:pPr>
        <w:pStyle w:val="17"/>
        <w:adjustRightInd w:val="0"/>
        <w:snapToGrid w:val="0"/>
        <w:ind w:firstLine="482"/>
        <w:rPr>
          <w:rFonts w:hint="eastAsia" w:ascii="楷体" w:hAnsi="楷体" w:cs="楷体"/>
          <w:sz w:val="24"/>
          <w:szCs w:val="24"/>
          <w:u w:val="none"/>
        </w:rPr>
      </w:pPr>
      <w:bookmarkStart w:id="197" w:name="_Toc16867422"/>
      <w:bookmarkStart w:id="198" w:name="_Toc15363"/>
      <w:bookmarkStart w:id="199" w:name="_Toc16865462"/>
      <w:bookmarkStart w:id="200" w:name="_Toc25613"/>
      <w:r>
        <w:rPr>
          <w:rFonts w:hint="eastAsia" w:ascii="楷体" w:hAnsi="楷体" w:cs="楷体"/>
          <w:sz w:val="24"/>
          <w:szCs w:val="24"/>
          <w:u w:val="none"/>
        </w:rPr>
        <w:t>3.深化教师、教材、教法改革</w:t>
      </w:r>
      <w:bookmarkEnd w:id="197"/>
      <w:bookmarkEnd w:id="198"/>
      <w:bookmarkEnd w:id="199"/>
      <w:bookmarkEnd w:id="200"/>
    </w:p>
    <w:p>
      <w:pPr>
        <w:adjustRightInd w:val="0"/>
        <w:snapToGrid w:val="0"/>
        <w:ind w:firstLine="480"/>
        <w:rPr>
          <w:rFonts w:ascii="宋体" w:hAnsi="宋体"/>
          <w:szCs w:val="24"/>
          <w:u w:val="none"/>
        </w:rPr>
      </w:pPr>
      <w:r>
        <w:rPr>
          <w:rFonts w:hint="eastAsia" w:ascii="宋体" w:hAnsi="宋体"/>
          <w:szCs w:val="24"/>
          <w:u w:val="none"/>
        </w:rPr>
        <w:t>建设</w:t>
      </w:r>
      <w:r>
        <w:rPr>
          <w:rFonts w:ascii="宋体" w:hAnsi="宋体"/>
          <w:szCs w:val="24"/>
          <w:u w:val="none"/>
        </w:rPr>
        <w:t>符合项目化、模块化教学需要的教学创新团队，不断优化教师能力结构。健全</w:t>
      </w:r>
      <w:r>
        <w:rPr>
          <w:rFonts w:hint="eastAsia" w:ascii="宋体" w:hAnsi="宋体"/>
          <w:szCs w:val="24"/>
          <w:u w:val="none"/>
        </w:rPr>
        <w:t>教材</w:t>
      </w:r>
      <w:r>
        <w:rPr>
          <w:rFonts w:ascii="宋体" w:hAnsi="宋体"/>
          <w:szCs w:val="24"/>
          <w:u w:val="none"/>
        </w:rPr>
        <w:t>选用制度，选用体现新技术、新工艺、新规范</w:t>
      </w:r>
      <w:r>
        <w:rPr>
          <w:rFonts w:hint="eastAsia" w:ascii="宋体" w:hAnsi="宋体"/>
          <w:szCs w:val="24"/>
          <w:u w:val="none"/>
        </w:rPr>
        <w:t>等</w:t>
      </w:r>
      <w:r>
        <w:rPr>
          <w:rFonts w:ascii="宋体" w:hAnsi="宋体"/>
          <w:szCs w:val="24"/>
          <w:u w:val="none"/>
        </w:rPr>
        <w:t>的高质量教材，引入典型生产案例。</w:t>
      </w:r>
      <w:r>
        <w:rPr>
          <w:rFonts w:hint="eastAsia" w:ascii="宋体" w:hAnsi="宋体"/>
          <w:szCs w:val="24"/>
          <w:u w:val="none"/>
        </w:rPr>
        <w:t>普及项目教学、案例教学、情境教学、模块化教学等教学方式，广泛运用启发式</w:t>
      </w:r>
      <w:r>
        <w:rPr>
          <w:rFonts w:ascii="宋体" w:hAnsi="宋体"/>
          <w:szCs w:val="24"/>
          <w:u w:val="none"/>
        </w:rPr>
        <w:t>、</w:t>
      </w:r>
      <w:r>
        <w:rPr>
          <w:rFonts w:hint="eastAsia" w:ascii="宋体" w:hAnsi="宋体"/>
          <w:szCs w:val="24"/>
          <w:u w:val="none"/>
        </w:rPr>
        <w:t>探究式、讨论式、参与式等教学方法，推广翻转课堂、混合式</w:t>
      </w:r>
      <w:r>
        <w:rPr>
          <w:rFonts w:ascii="宋体" w:hAnsi="宋体"/>
          <w:szCs w:val="24"/>
          <w:u w:val="none"/>
        </w:rPr>
        <w:t>教学、</w:t>
      </w:r>
      <w:r>
        <w:rPr>
          <w:rFonts w:hint="eastAsia" w:ascii="宋体" w:hAnsi="宋体"/>
          <w:szCs w:val="24"/>
          <w:u w:val="none"/>
        </w:rPr>
        <w:t>理实一体教学等教学模式，</w:t>
      </w:r>
      <w:r>
        <w:rPr>
          <w:rFonts w:ascii="宋体" w:hAnsi="宋体"/>
          <w:szCs w:val="24"/>
          <w:u w:val="none"/>
        </w:rPr>
        <w:t>推动课堂教学革命。</w:t>
      </w:r>
    </w:p>
    <w:p>
      <w:pPr>
        <w:pStyle w:val="17"/>
        <w:adjustRightInd w:val="0"/>
        <w:snapToGrid w:val="0"/>
        <w:ind w:firstLine="482"/>
        <w:rPr>
          <w:rFonts w:hint="eastAsia" w:ascii="楷体" w:hAnsi="楷体" w:cs="楷体"/>
          <w:sz w:val="24"/>
          <w:szCs w:val="24"/>
          <w:u w:val="none"/>
        </w:rPr>
      </w:pPr>
      <w:bookmarkStart w:id="201" w:name="_Toc25970"/>
      <w:bookmarkStart w:id="202" w:name="_Toc16867423"/>
      <w:bookmarkStart w:id="203" w:name="_Toc16865463"/>
      <w:bookmarkStart w:id="204" w:name="_Toc16629"/>
      <w:r>
        <w:rPr>
          <w:rFonts w:hint="eastAsia" w:ascii="楷体" w:hAnsi="楷体" w:cs="楷体"/>
          <w:sz w:val="24"/>
          <w:szCs w:val="24"/>
          <w:u w:val="none"/>
        </w:rPr>
        <w:t>4.推进信息化技术与教学有机融合</w:t>
      </w:r>
      <w:bookmarkEnd w:id="201"/>
      <w:bookmarkEnd w:id="202"/>
      <w:bookmarkEnd w:id="203"/>
      <w:bookmarkEnd w:id="204"/>
    </w:p>
    <w:p>
      <w:pPr>
        <w:adjustRightInd w:val="0"/>
        <w:snapToGrid w:val="0"/>
        <w:ind w:firstLine="480"/>
        <w:rPr>
          <w:rFonts w:ascii="宋体" w:hAnsi="宋体"/>
          <w:szCs w:val="24"/>
          <w:u w:val="none"/>
        </w:rPr>
      </w:pPr>
      <w:r>
        <w:rPr>
          <w:rFonts w:hint="eastAsia" w:ascii="宋体" w:hAnsi="宋体"/>
          <w:szCs w:val="24"/>
          <w:u w:val="none"/>
        </w:rPr>
        <w:t>全面</w:t>
      </w:r>
      <w:r>
        <w:rPr>
          <w:rFonts w:ascii="宋体" w:hAnsi="宋体"/>
          <w:szCs w:val="24"/>
          <w:u w:val="none"/>
        </w:rPr>
        <w:t>提升教师信息技术应用能力，推动现代信息技术在教育教学中的广泛应用</w:t>
      </w:r>
      <w:r>
        <w:rPr>
          <w:rFonts w:hint="eastAsia" w:ascii="宋体" w:hAnsi="宋体"/>
          <w:szCs w:val="24"/>
          <w:u w:val="none"/>
        </w:rPr>
        <w:t>，</w:t>
      </w:r>
      <w:r>
        <w:rPr>
          <w:rFonts w:ascii="宋体" w:hAnsi="宋体"/>
          <w:szCs w:val="24"/>
          <w:u w:val="none"/>
        </w:rPr>
        <w:t>加快建设智能化教学支持环境，建设能够满足</w:t>
      </w:r>
      <w:r>
        <w:rPr>
          <w:rFonts w:hint="eastAsia" w:ascii="宋体" w:hAnsi="宋体"/>
          <w:szCs w:val="24"/>
          <w:u w:val="none"/>
        </w:rPr>
        <w:t>多样化</w:t>
      </w:r>
      <w:r>
        <w:rPr>
          <w:rFonts w:ascii="宋体" w:hAnsi="宋体"/>
          <w:szCs w:val="24"/>
          <w:u w:val="none"/>
        </w:rPr>
        <w:t>需求的课程资源</w:t>
      </w:r>
      <w:r>
        <w:rPr>
          <w:rFonts w:hint="eastAsia" w:ascii="宋体" w:hAnsi="宋体"/>
          <w:szCs w:val="24"/>
          <w:u w:val="none"/>
        </w:rPr>
        <w:t>。</w:t>
      </w:r>
    </w:p>
    <w:p>
      <w:pPr>
        <w:pStyle w:val="17"/>
        <w:adjustRightInd w:val="0"/>
        <w:snapToGrid w:val="0"/>
        <w:ind w:firstLine="482"/>
        <w:rPr>
          <w:rFonts w:hint="eastAsia" w:ascii="楷体" w:hAnsi="楷体" w:cs="楷体"/>
          <w:sz w:val="24"/>
          <w:szCs w:val="24"/>
          <w:u w:val="none"/>
        </w:rPr>
      </w:pPr>
      <w:bookmarkStart w:id="205" w:name="_Toc8561"/>
      <w:bookmarkStart w:id="206" w:name="_Toc31249"/>
      <w:bookmarkStart w:id="207" w:name="_Toc16865464"/>
      <w:bookmarkStart w:id="208" w:name="_Toc16867424"/>
      <w:r>
        <w:rPr>
          <w:rFonts w:hint="eastAsia" w:ascii="楷体" w:hAnsi="楷体" w:cs="楷体"/>
          <w:sz w:val="24"/>
          <w:szCs w:val="24"/>
          <w:u w:val="none"/>
        </w:rPr>
        <w:t>5.改进学习过程管理与评价</w:t>
      </w:r>
      <w:bookmarkEnd w:id="205"/>
      <w:bookmarkEnd w:id="206"/>
      <w:bookmarkEnd w:id="207"/>
      <w:bookmarkEnd w:id="208"/>
    </w:p>
    <w:p>
      <w:pPr>
        <w:adjustRightInd w:val="0"/>
        <w:snapToGrid w:val="0"/>
        <w:ind w:firstLine="480"/>
        <w:rPr>
          <w:rFonts w:hint="eastAsia"/>
          <w:u w:val="none"/>
        </w:rPr>
      </w:pPr>
      <w:r>
        <w:rPr>
          <w:rFonts w:hint="eastAsia" w:ascii="宋体" w:hAnsi="宋体"/>
          <w:szCs w:val="24"/>
          <w:u w:val="none"/>
        </w:rPr>
        <w:t>加大过程</w:t>
      </w:r>
      <w:r>
        <w:rPr>
          <w:rFonts w:ascii="宋体" w:hAnsi="宋体"/>
          <w:szCs w:val="24"/>
          <w:u w:val="none"/>
        </w:rPr>
        <w:t>考核、时间技能考核成绩在课程总成绩中的比重，</w:t>
      </w:r>
      <w:r>
        <w:rPr>
          <w:rFonts w:hint="eastAsia" w:ascii="宋体" w:hAnsi="宋体"/>
          <w:szCs w:val="24"/>
          <w:u w:val="none"/>
        </w:rPr>
        <w:t>严格</w:t>
      </w:r>
      <w:r>
        <w:rPr>
          <w:rFonts w:ascii="宋体" w:hAnsi="宋体"/>
          <w:szCs w:val="24"/>
          <w:u w:val="none"/>
        </w:rPr>
        <w:t>考试纪律，健全多元化考核评价体系，完善学生学习过程监测、评价与反馈机制，引导学生自我管理、主动学习、提高学习效率。强化</w:t>
      </w:r>
      <w:r>
        <w:rPr>
          <w:rFonts w:hint="eastAsia" w:ascii="宋体" w:hAnsi="宋体"/>
          <w:szCs w:val="24"/>
          <w:u w:val="none"/>
        </w:rPr>
        <w:t>实习</w:t>
      </w:r>
      <w:r>
        <w:rPr>
          <w:rFonts w:ascii="宋体" w:hAnsi="宋体"/>
          <w:szCs w:val="24"/>
          <w:u w:val="none"/>
        </w:rPr>
        <w:t>、实训、毕业设计（</w:t>
      </w:r>
      <w:r>
        <w:rPr>
          <w:rFonts w:hint="eastAsia" w:ascii="宋体" w:hAnsi="宋体"/>
          <w:szCs w:val="24"/>
          <w:u w:val="none"/>
        </w:rPr>
        <w:t>论文</w:t>
      </w:r>
      <w:r>
        <w:rPr>
          <w:rFonts w:ascii="宋体" w:hAnsi="宋体"/>
          <w:szCs w:val="24"/>
          <w:u w:val="none"/>
        </w:rPr>
        <w:t>）</w:t>
      </w:r>
      <w:r>
        <w:rPr>
          <w:rFonts w:hint="eastAsia" w:ascii="宋体" w:hAnsi="宋体"/>
          <w:szCs w:val="24"/>
          <w:u w:val="none"/>
        </w:rPr>
        <w:t>等</w:t>
      </w:r>
      <w:r>
        <w:rPr>
          <w:rFonts w:ascii="宋体" w:hAnsi="宋体"/>
          <w:szCs w:val="24"/>
          <w:u w:val="none"/>
        </w:rPr>
        <w:t>实践性教学环节的全过程管理与考核评价。</w:t>
      </w:r>
    </w:p>
    <w:p>
      <w:pPr>
        <w:numPr>
          <w:ilvl w:val="0"/>
          <w:numId w:val="1"/>
        </w:numPr>
        <w:overflowPunct w:val="0"/>
        <w:adjustRightInd w:val="0"/>
        <w:spacing w:line="420" w:lineRule="exact"/>
        <w:ind w:firstLine="562"/>
        <w:outlineLvl w:val="0"/>
        <w:rPr>
          <w:rFonts w:hint="eastAsia" w:ascii="Arial" w:hAnsi="Arial" w:eastAsia="黑体"/>
          <w:b/>
          <w:sz w:val="28"/>
          <w:szCs w:val="28"/>
          <w:u w:val="none"/>
        </w:rPr>
      </w:pPr>
      <w:bookmarkStart w:id="209" w:name="_Toc29833"/>
      <w:bookmarkStart w:id="210" w:name="_Toc29181"/>
      <w:bookmarkStart w:id="211" w:name="_Toc27503"/>
      <w:bookmarkStart w:id="212" w:name="_Toc1078"/>
      <w:bookmarkStart w:id="213" w:name="_Toc13026"/>
      <w:r>
        <w:rPr>
          <w:rFonts w:hint="eastAsia" w:ascii="Arial" w:hAnsi="Arial" w:eastAsia="黑体"/>
          <w:b/>
          <w:sz w:val="28"/>
          <w:szCs w:val="28"/>
          <w:u w:val="none"/>
        </w:rPr>
        <w:t>学分管理和学分认定转换</w:t>
      </w:r>
      <w:bookmarkEnd w:id="209"/>
      <w:bookmarkEnd w:id="210"/>
      <w:bookmarkEnd w:id="211"/>
      <w:bookmarkEnd w:id="212"/>
      <w:bookmarkEnd w:id="213"/>
    </w:p>
    <w:p>
      <w:pPr>
        <w:pStyle w:val="4"/>
        <w:numPr>
          <w:ilvl w:val="0"/>
          <w:numId w:val="2"/>
        </w:numPr>
        <w:ind w:firstLine="482"/>
        <w:rPr>
          <w:rFonts w:hint="eastAsia"/>
          <w:u w:val="none"/>
        </w:rPr>
      </w:pPr>
      <w:bookmarkStart w:id="214" w:name="_Toc28306"/>
      <w:bookmarkStart w:id="215" w:name="_Toc2803"/>
      <w:bookmarkStart w:id="216" w:name="_Toc7159"/>
      <w:bookmarkStart w:id="217" w:name="_Toc21534"/>
      <w:bookmarkStart w:id="218" w:name="_Toc10859"/>
      <w:r>
        <w:rPr>
          <w:rFonts w:hint="eastAsia"/>
          <w:u w:val="none"/>
        </w:rPr>
        <w:t>学分管理</w:t>
      </w:r>
      <w:bookmarkEnd w:id="214"/>
      <w:bookmarkEnd w:id="215"/>
      <w:bookmarkEnd w:id="216"/>
      <w:bookmarkEnd w:id="217"/>
      <w:bookmarkEnd w:id="218"/>
    </w:p>
    <w:p>
      <w:pPr>
        <w:adjustRightInd w:val="0"/>
        <w:snapToGrid w:val="0"/>
        <w:ind w:firstLine="480"/>
        <w:rPr>
          <w:rFonts w:hint="eastAsia" w:ascii="宋体" w:hAnsi="宋体"/>
          <w:szCs w:val="24"/>
          <w:u w:val="none"/>
        </w:rPr>
      </w:pPr>
      <w:r>
        <w:rPr>
          <w:rFonts w:hint="eastAsia" w:ascii="宋体" w:hAnsi="宋体"/>
          <w:szCs w:val="24"/>
          <w:u w:val="none"/>
        </w:rPr>
        <w:t>学生通过课程的考核，成绩合格后，即可获得该课程所对应的学分。</w:t>
      </w:r>
    </w:p>
    <w:p>
      <w:pPr>
        <w:adjustRightInd w:val="0"/>
        <w:snapToGrid w:val="0"/>
        <w:ind w:firstLine="480"/>
        <w:rPr>
          <w:rFonts w:hint="eastAsia" w:ascii="宋体" w:hAnsi="宋体"/>
          <w:szCs w:val="24"/>
          <w:u w:val="none"/>
        </w:rPr>
      </w:pPr>
      <w:r>
        <w:rPr>
          <w:rFonts w:hint="eastAsia" w:ascii="宋体" w:hAnsi="宋体"/>
          <w:szCs w:val="24"/>
          <w:u w:val="none"/>
        </w:rPr>
        <w:t>为了更好地引导学生考取各类资格证书，同时积极鼓励学生参加各类技能竞赛，“以赛促学”，提高学生的职业综合素质，学院制定了学分转换制度。符合学分转换要求的课程，学生根据取得的各类证书可以免修与免考，并获得该课程所对应的学分，成绩可认定为相应分值，也可按学生实际考试成绩来认定。具体学分转换规定参照“安徽审计职业学院学分管理办法（试行）”。结合发证的机构、证书的权重及通过的难易程度等方面因素，综合考虑后将证书按类别进行学分转化。</w:t>
      </w:r>
    </w:p>
    <w:p>
      <w:pPr>
        <w:ind w:firstLine="480"/>
        <w:rPr>
          <w:rFonts w:hint="eastAsia" w:ascii="宋体" w:hAnsi="宋体"/>
          <w:szCs w:val="24"/>
          <w:u w:val="none"/>
        </w:rPr>
      </w:pPr>
      <w:r>
        <w:rPr>
          <w:rFonts w:hint="eastAsia" w:ascii="宋体" w:hAnsi="宋体"/>
          <w:szCs w:val="24"/>
          <w:u w:val="none"/>
        </w:rPr>
        <w:t>为调动学生参加技能竞赛的积极性，第一学期至第五学期我们分别设置了2学分的建筑经济信息化管理专业创新创业与实训课程，积极参加技能竞赛的同学，每学期可获得2学分；拒绝参加技能竞赛的同学，每学期无法获得该课程2学分，该课程低于10学分的同学无法正常毕业。参加B类技能竞赛获得二等奖及以上的，可免修毕业综合实训（“1+X”BIM/“1+X”识图）课程。</w:t>
      </w:r>
    </w:p>
    <w:p>
      <w:pPr>
        <w:pStyle w:val="4"/>
        <w:numPr>
          <w:ilvl w:val="0"/>
          <w:numId w:val="2"/>
        </w:numPr>
        <w:ind w:firstLine="482"/>
        <w:rPr>
          <w:rFonts w:hint="eastAsia"/>
          <w:u w:val="none"/>
        </w:rPr>
      </w:pPr>
      <w:bookmarkStart w:id="219" w:name="_Toc22229"/>
      <w:bookmarkStart w:id="220" w:name="_Toc14047"/>
      <w:bookmarkStart w:id="221" w:name="_Toc12346"/>
      <w:bookmarkStart w:id="222" w:name="_Toc27752"/>
      <w:bookmarkStart w:id="223" w:name="_Toc7134"/>
      <w:r>
        <w:rPr>
          <w:rFonts w:hint="eastAsia"/>
          <w:u w:val="none"/>
        </w:rPr>
        <w:t>学分认定与转换</w:t>
      </w:r>
      <w:bookmarkEnd w:id="219"/>
      <w:bookmarkEnd w:id="220"/>
      <w:bookmarkEnd w:id="221"/>
      <w:bookmarkEnd w:id="222"/>
      <w:bookmarkEnd w:id="223"/>
    </w:p>
    <w:p>
      <w:pPr>
        <w:pStyle w:val="17"/>
        <w:adjustRightInd w:val="0"/>
        <w:snapToGrid w:val="0"/>
        <w:ind w:firstLine="482"/>
        <w:rPr>
          <w:rFonts w:hint="eastAsia" w:ascii="楷体" w:hAnsi="楷体" w:cs="楷体"/>
          <w:sz w:val="24"/>
          <w:szCs w:val="24"/>
          <w:u w:val="none"/>
        </w:rPr>
      </w:pPr>
      <w:bookmarkStart w:id="224" w:name="_Toc27778"/>
      <w:r>
        <w:rPr>
          <w:rFonts w:hint="eastAsia" w:ascii="楷体" w:hAnsi="楷体" w:cs="楷体"/>
          <w:sz w:val="24"/>
          <w:szCs w:val="24"/>
          <w:u w:val="none"/>
        </w:rPr>
        <w:t>1.学分认定与转换的条件</w:t>
      </w:r>
      <w:bookmarkEnd w:id="224"/>
    </w:p>
    <w:p>
      <w:pPr>
        <w:adjustRightInd w:val="0"/>
        <w:snapToGrid w:val="0"/>
        <w:ind w:firstLine="480"/>
        <w:rPr>
          <w:rFonts w:hint="eastAsia" w:ascii="宋体" w:hAnsi="宋体"/>
          <w:szCs w:val="24"/>
          <w:u w:val="none"/>
        </w:rPr>
      </w:pPr>
      <w:r>
        <w:rPr>
          <w:rFonts w:hint="eastAsia" w:ascii="宋体" w:hAnsi="宋体"/>
          <w:szCs w:val="24"/>
          <w:u w:val="none"/>
        </w:rPr>
        <w:t>可用于学分认定与转换的类型有：</w:t>
      </w:r>
    </w:p>
    <w:p>
      <w:pPr>
        <w:adjustRightInd w:val="0"/>
        <w:snapToGrid w:val="0"/>
        <w:ind w:firstLine="482"/>
        <w:rPr>
          <w:rFonts w:hint="eastAsia" w:ascii="宋体" w:hAnsi="宋体"/>
          <w:szCs w:val="24"/>
          <w:u w:val="none"/>
        </w:rPr>
      </w:pPr>
      <w:r>
        <w:rPr>
          <w:rFonts w:hint="eastAsia" w:ascii="宋体" w:hAnsi="宋体" w:cs="宋体"/>
          <w:b/>
          <w:szCs w:val="24"/>
          <w:u w:val="none"/>
        </w:rPr>
        <w:t>（1）资格证书类</w:t>
      </w:r>
      <w:r>
        <w:rPr>
          <w:rFonts w:hint="eastAsia" w:ascii="楷体" w:hAnsi="楷体" w:eastAsia="楷体" w:cs="楷体"/>
          <w:bCs/>
          <w:sz w:val="28"/>
          <w:szCs w:val="28"/>
          <w:u w:val="none"/>
        </w:rPr>
        <w:t xml:space="preserve"> </w:t>
      </w:r>
      <w:r>
        <w:rPr>
          <w:rFonts w:hint="eastAsia" w:ascii="宋体" w:hAnsi="宋体"/>
          <w:szCs w:val="24"/>
          <w:u w:val="none"/>
        </w:rPr>
        <w:t xml:space="preserve">        </w:t>
      </w:r>
    </w:p>
    <w:p>
      <w:pPr>
        <w:adjustRightInd w:val="0"/>
        <w:snapToGrid w:val="0"/>
        <w:ind w:firstLine="480"/>
        <w:rPr>
          <w:rFonts w:hint="eastAsia" w:ascii="黑体" w:hAnsi="黑体" w:eastAsia="黑体"/>
          <w:b/>
          <w:sz w:val="21"/>
          <w:szCs w:val="21"/>
          <w:u w:val="none"/>
        </w:rPr>
      </w:pPr>
      <w:r>
        <w:rPr>
          <w:rFonts w:hint="eastAsia" w:ascii="宋体" w:hAnsi="宋体"/>
          <w:szCs w:val="24"/>
          <w:u w:val="none"/>
        </w:rPr>
        <w:t>建筑经济</w:t>
      </w:r>
      <w:r>
        <w:rPr>
          <w:rFonts w:hint="eastAsia" w:ascii="宋体" w:hAnsi="宋体"/>
          <w:szCs w:val="24"/>
          <w:u w:val="none"/>
          <w:lang w:val="en-US" w:eastAsia="zh-CN"/>
        </w:rPr>
        <w:t>信息化</w:t>
      </w:r>
      <w:r>
        <w:rPr>
          <w:rFonts w:hint="eastAsia" w:ascii="宋体" w:hAnsi="宋体"/>
          <w:szCs w:val="24"/>
          <w:u w:val="none"/>
        </w:rPr>
        <w:t>管理专业学生取得的常见职业资格证书及行业企业资格考试或认证证书所对应的转换课程如表9</w:t>
      </w:r>
      <w:r>
        <w:rPr>
          <w:rFonts w:ascii="宋体" w:hAnsi="宋体"/>
          <w:szCs w:val="24"/>
          <w:u w:val="none"/>
        </w:rPr>
        <w:t>-</w:t>
      </w:r>
      <w:r>
        <w:rPr>
          <w:rFonts w:hint="eastAsia" w:ascii="宋体" w:hAnsi="宋体"/>
          <w:szCs w:val="24"/>
          <w:u w:val="none"/>
        </w:rPr>
        <w:t>1。</w:t>
      </w:r>
    </w:p>
    <w:p>
      <w:pPr>
        <w:spacing w:line="240" w:lineRule="auto"/>
        <w:ind w:firstLine="0" w:firstLineChars="0"/>
        <w:jc w:val="center"/>
        <w:rPr>
          <w:rFonts w:hint="eastAsia" w:ascii="黑体" w:hAnsi="黑体" w:eastAsia="黑体"/>
          <w:b/>
          <w:sz w:val="21"/>
          <w:szCs w:val="21"/>
          <w:u w:val="none"/>
        </w:rPr>
      </w:pPr>
      <w:r>
        <w:rPr>
          <w:rFonts w:hint="eastAsia" w:ascii="黑体" w:hAnsi="黑体" w:eastAsia="黑体"/>
          <w:b/>
          <w:sz w:val="21"/>
          <w:szCs w:val="21"/>
          <w:u w:val="none"/>
        </w:rPr>
        <w:t>表9-1 职业资格证书与转换课程表</w:t>
      </w:r>
    </w:p>
    <w:tbl>
      <w:tblPr>
        <w:tblStyle w:val="1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928"/>
        <w:gridCol w:w="1327"/>
        <w:gridCol w:w="870"/>
        <w:gridCol w:w="319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1" w:type="dxa"/>
            <w:noWrap w:val="0"/>
            <w:vAlign w:val="center"/>
          </w:tcPr>
          <w:p>
            <w:pPr>
              <w:spacing w:line="240" w:lineRule="auto"/>
              <w:ind w:firstLine="0" w:firstLineChars="0"/>
              <w:jc w:val="center"/>
              <w:rPr>
                <w:rFonts w:hint="eastAsia" w:ascii="仿宋" w:hAnsi="仿宋" w:eastAsia="仿宋" w:cs="仿宋"/>
                <w:b/>
                <w:bCs/>
                <w:sz w:val="21"/>
                <w:szCs w:val="21"/>
                <w:u w:val="none"/>
              </w:rPr>
            </w:pPr>
            <w:bookmarkStart w:id="225" w:name="_Toc1482"/>
            <w:bookmarkStart w:id="226" w:name="_Toc16865467"/>
            <w:bookmarkStart w:id="227" w:name="_Toc16867427"/>
            <w:r>
              <w:rPr>
                <w:rFonts w:hint="eastAsia" w:ascii="仿宋" w:hAnsi="仿宋" w:eastAsia="仿宋" w:cs="仿宋"/>
                <w:b/>
                <w:bCs/>
                <w:sz w:val="21"/>
                <w:szCs w:val="21"/>
                <w:u w:val="none"/>
              </w:rPr>
              <w:t>序号</w:t>
            </w:r>
          </w:p>
        </w:tc>
        <w:tc>
          <w:tcPr>
            <w:tcW w:w="1928"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证书名称</w:t>
            </w:r>
          </w:p>
        </w:tc>
        <w:tc>
          <w:tcPr>
            <w:tcW w:w="1327"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证书级别</w:t>
            </w:r>
          </w:p>
        </w:tc>
        <w:tc>
          <w:tcPr>
            <w:tcW w:w="870"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学分</w:t>
            </w:r>
          </w:p>
        </w:tc>
        <w:tc>
          <w:tcPr>
            <w:tcW w:w="3197"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转换课程</w:t>
            </w:r>
          </w:p>
        </w:tc>
        <w:tc>
          <w:tcPr>
            <w:tcW w:w="947"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w:t>
            </w:r>
          </w:p>
        </w:tc>
        <w:tc>
          <w:tcPr>
            <w:tcW w:w="1928"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工程造价数字化应用</w:t>
            </w:r>
          </w:p>
        </w:tc>
        <w:tc>
          <w:tcPr>
            <w:tcW w:w="132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初级</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中级</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高级</w:t>
            </w:r>
          </w:p>
        </w:tc>
        <w:tc>
          <w:tcPr>
            <w:tcW w:w="87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3197" w:type="dxa"/>
            <w:noWrap w:val="0"/>
            <w:vAlign w:val="center"/>
          </w:tcPr>
          <w:p>
            <w:pPr>
              <w:spacing w:line="240" w:lineRule="auto"/>
              <w:ind w:firstLine="0" w:firstLineChars="0"/>
              <w:jc w:val="center"/>
              <w:rPr>
                <w:rFonts w:hint="eastAsia" w:ascii="仿宋" w:hAnsi="仿宋" w:eastAsia="仿宋" w:cs="仿宋"/>
                <w:sz w:val="21"/>
                <w:szCs w:val="21"/>
                <w:u w:val="none"/>
                <w:lang w:val="en-US" w:eastAsia="zh-CN"/>
              </w:rPr>
            </w:pPr>
            <w:r>
              <w:rPr>
                <w:rFonts w:hint="eastAsia" w:ascii="仿宋" w:hAnsi="仿宋" w:eastAsia="仿宋" w:cs="仿宋"/>
                <w:sz w:val="21"/>
                <w:szCs w:val="21"/>
                <w:u w:val="none"/>
              </w:rPr>
              <w:t xml:space="preserve">工程造价信息化 </w:t>
            </w:r>
            <w:r>
              <w:rPr>
                <w:rFonts w:hint="eastAsia" w:ascii="仿宋" w:hAnsi="仿宋" w:eastAsia="仿宋" w:cs="仿宋"/>
                <w:sz w:val="21"/>
                <w:szCs w:val="21"/>
                <w:u w:val="none"/>
                <w:lang w:val="en-US" w:eastAsia="zh-CN"/>
              </w:rPr>
              <w:t xml:space="preserve">          </w:t>
            </w:r>
          </w:p>
          <w:p>
            <w:pPr>
              <w:spacing w:line="240" w:lineRule="auto"/>
              <w:ind w:firstLine="0" w:firstLineChars="0"/>
              <w:jc w:val="center"/>
              <w:rPr>
                <w:rFonts w:hint="eastAsia" w:ascii="仿宋" w:hAnsi="仿宋" w:eastAsia="仿宋" w:cs="仿宋"/>
                <w:sz w:val="21"/>
                <w:szCs w:val="21"/>
                <w:u w:val="none"/>
                <w:lang w:val="en-US" w:eastAsia="zh-CN"/>
              </w:rPr>
            </w:pPr>
            <w:r>
              <w:rPr>
                <w:rFonts w:hint="eastAsia" w:ascii="仿宋" w:hAnsi="仿宋" w:eastAsia="仿宋" w:cs="仿宋"/>
                <w:sz w:val="21"/>
                <w:szCs w:val="21"/>
                <w:u w:val="none"/>
              </w:rPr>
              <w:t>建筑工程计量与计价</w:t>
            </w:r>
            <w:r>
              <w:rPr>
                <w:rFonts w:hint="eastAsia" w:ascii="仿宋" w:hAnsi="仿宋" w:eastAsia="仿宋" w:cs="仿宋"/>
                <w:sz w:val="21"/>
                <w:szCs w:val="21"/>
                <w:u w:val="none"/>
                <w:lang w:val="en-US" w:eastAsia="zh-CN"/>
              </w:rPr>
              <w:t xml:space="preserve">       </w:t>
            </w:r>
          </w:p>
          <w:p>
            <w:pPr>
              <w:spacing w:line="240" w:lineRule="auto"/>
              <w:ind w:firstLine="0" w:firstLineChars="0"/>
              <w:jc w:val="center"/>
              <w:rPr>
                <w:rFonts w:ascii="仿宋" w:hAnsi="仿宋" w:eastAsia="仿宋" w:cs="仿宋"/>
                <w:sz w:val="21"/>
                <w:szCs w:val="21"/>
                <w:u w:val="none"/>
              </w:rPr>
            </w:pPr>
            <w:r>
              <w:rPr>
                <w:rFonts w:hint="eastAsia" w:ascii="仿宋" w:hAnsi="仿宋" w:eastAsia="仿宋" w:cs="仿宋"/>
                <w:sz w:val="21"/>
                <w:szCs w:val="21"/>
                <w:u w:val="none"/>
              </w:rPr>
              <w:t>混凝土结构施工图平法识图</w:t>
            </w:r>
          </w:p>
        </w:tc>
        <w:tc>
          <w:tcPr>
            <w:tcW w:w="94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90</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1928"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sz w:val="21"/>
                <w:szCs w:val="21"/>
                <w:u w:val="none"/>
              </w:rPr>
              <w:t>“1+X”建筑信息模型（BIM）职业技能等级证书</w:t>
            </w:r>
          </w:p>
        </w:tc>
        <w:tc>
          <w:tcPr>
            <w:tcW w:w="132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初级</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中级</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高级</w:t>
            </w:r>
          </w:p>
        </w:tc>
        <w:tc>
          <w:tcPr>
            <w:tcW w:w="87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3197" w:type="dxa"/>
            <w:noWrap w:val="0"/>
            <w:vAlign w:val="center"/>
          </w:tcPr>
          <w:p>
            <w:pPr>
              <w:spacing w:line="240" w:lineRule="auto"/>
              <w:ind w:firstLine="0" w:firstLineChars="0"/>
              <w:jc w:val="center"/>
              <w:rPr>
                <w:rFonts w:hint="eastAsia" w:ascii="仿宋" w:hAnsi="仿宋" w:eastAsia="仿宋" w:cs="仿宋"/>
                <w:sz w:val="21"/>
                <w:szCs w:val="21"/>
                <w:u w:val="none"/>
                <w:lang w:val="en-US" w:eastAsia="zh-CN"/>
              </w:rPr>
            </w:pPr>
            <w:r>
              <w:rPr>
                <w:rFonts w:hint="eastAsia" w:ascii="仿宋" w:hAnsi="仿宋" w:eastAsia="仿宋" w:cs="仿宋"/>
                <w:sz w:val="21"/>
                <w:szCs w:val="21"/>
                <w:u w:val="none"/>
              </w:rPr>
              <w:t>建设项目信息化</w:t>
            </w:r>
            <w:r>
              <w:rPr>
                <w:rFonts w:hint="eastAsia" w:ascii="仿宋" w:hAnsi="仿宋" w:eastAsia="仿宋" w:cs="仿宋"/>
                <w:sz w:val="21"/>
                <w:szCs w:val="21"/>
                <w:u w:val="none"/>
                <w:lang w:val="en-US" w:eastAsia="zh-CN"/>
              </w:rPr>
              <w:t xml:space="preserve">           </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工程造价信息化</w:t>
            </w:r>
          </w:p>
        </w:tc>
        <w:tc>
          <w:tcPr>
            <w:tcW w:w="94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90</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noWrap w:val="0"/>
            <w:vAlign w:val="center"/>
          </w:tcPr>
          <w:p>
            <w:pPr>
              <w:spacing w:line="240" w:lineRule="auto"/>
              <w:ind w:firstLine="0" w:firstLineChars="0"/>
              <w:jc w:val="center"/>
              <w:rPr>
                <w:rFonts w:ascii="仿宋" w:hAnsi="仿宋" w:eastAsia="仿宋" w:cs="仿宋"/>
                <w:sz w:val="21"/>
                <w:szCs w:val="21"/>
                <w:u w:val="none"/>
              </w:rPr>
            </w:pPr>
            <w:r>
              <w:rPr>
                <w:rFonts w:hint="eastAsia" w:ascii="仿宋" w:hAnsi="仿宋" w:eastAsia="仿宋" w:cs="仿宋"/>
                <w:sz w:val="21"/>
                <w:szCs w:val="21"/>
                <w:u w:val="none"/>
              </w:rPr>
              <w:t>3</w:t>
            </w:r>
          </w:p>
        </w:tc>
        <w:tc>
          <w:tcPr>
            <w:tcW w:w="1928" w:type="dxa"/>
            <w:noWrap w:val="0"/>
            <w:vAlign w:val="center"/>
          </w:tcPr>
          <w:p>
            <w:pPr>
              <w:spacing w:line="240" w:lineRule="auto"/>
              <w:ind w:firstLine="0" w:firstLineChars="0"/>
              <w:jc w:val="center"/>
              <w:rPr>
                <w:rFonts w:hint="eastAsia" w:ascii="仿宋" w:hAnsi="仿宋" w:eastAsia="仿宋"/>
                <w:sz w:val="21"/>
                <w:szCs w:val="21"/>
                <w:u w:val="none"/>
              </w:rPr>
            </w:pPr>
            <w:r>
              <w:rPr>
                <w:rFonts w:hint="eastAsia" w:ascii="仿宋" w:hAnsi="仿宋" w:eastAsia="仿宋"/>
                <w:sz w:val="21"/>
                <w:szCs w:val="21"/>
                <w:u w:val="none"/>
              </w:rPr>
              <w:t>“1+X”建筑工程识图职业技能等级证书</w:t>
            </w:r>
          </w:p>
        </w:tc>
        <w:tc>
          <w:tcPr>
            <w:tcW w:w="132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初级</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中级</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高级</w:t>
            </w:r>
          </w:p>
        </w:tc>
        <w:tc>
          <w:tcPr>
            <w:tcW w:w="87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3197" w:type="dxa"/>
            <w:noWrap w:val="0"/>
            <w:vAlign w:val="center"/>
          </w:tcPr>
          <w:p>
            <w:pPr>
              <w:spacing w:line="240" w:lineRule="auto"/>
              <w:ind w:firstLine="0" w:firstLineChars="0"/>
              <w:jc w:val="center"/>
              <w:rPr>
                <w:rFonts w:hint="eastAsia" w:ascii="仿宋" w:hAnsi="仿宋" w:eastAsia="仿宋"/>
                <w:sz w:val="21"/>
                <w:szCs w:val="21"/>
                <w:u w:val="none"/>
                <w:lang w:val="en-US" w:eastAsia="zh-CN"/>
              </w:rPr>
            </w:pPr>
            <w:r>
              <w:rPr>
                <w:rFonts w:hint="eastAsia" w:ascii="仿宋" w:hAnsi="仿宋" w:eastAsia="仿宋"/>
                <w:sz w:val="21"/>
                <w:szCs w:val="21"/>
                <w:u w:val="none"/>
              </w:rPr>
              <w:t>建筑制图与识图</w:t>
            </w:r>
            <w:r>
              <w:rPr>
                <w:rFonts w:hint="eastAsia" w:ascii="仿宋" w:hAnsi="仿宋" w:eastAsia="仿宋"/>
                <w:sz w:val="21"/>
                <w:szCs w:val="21"/>
                <w:u w:val="none"/>
                <w:lang w:val="en-US" w:eastAsia="zh-CN"/>
              </w:rPr>
              <w:t xml:space="preserve">           </w:t>
            </w:r>
          </w:p>
          <w:p>
            <w:pPr>
              <w:spacing w:line="240" w:lineRule="auto"/>
              <w:ind w:firstLine="0" w:firstLineChars="0"/>
              <w:jc w:val="center"/>
              <w:rPr>
                <w:rFonts w:hint="eastAsia" w:ascii="仿宋" w:hAnsi="仿宋" w:eastAsia="仿宋"/>
                <w:sz w:val="21"/>
                <w:szCs w:val="21"/>
                <w:u w:val="none"/>
                <w:lang w:val="en-US" w:eastAsia="zh-CN"/>
              </w:rPr>
            </w:pPr>
            <w:r>
              <w:rPr>
                <w:rFonts w:hint="eastAsia" w:ascii="仿宋" w:hAnsi="仿宋" w:eastAsia="仿宋"/>
                <w:sz w:val="21"/>
                <w:szCs w:val="21"/>
                <w:u w:val="none"/>
              </w:rPr>
              <w:t>房屋建筑学</w:t>
            </w:r>
            <w:r>
              <w:rPr>
                <w:rFonts w:hint="eastAsia" w:ascii="仿宋" w:hAnsi="仿宋" w:eastAsia="仿宋"/>
                <w:sz w:val="21"/>
                <w:szCs w:val="21"/>
                <w:u w:val="none"/>
                <w:lang w:val="en-US" w:eastAsia="zh-CN"/>
              </w:rPr>
              <w:t xml:space="preserve">               </w:t>
            </w:r>
          </w:p>
          <w:p>
            <w:pPr>
              <w:spacing w:line="240" w:lineRule="auto"/>
              <w:ind w:firstLine="0" w:firstLineChars="0"/>
              <w:jc w:val="center"/>
              <w:rPr>
                <w:rFonts w:hint="eastAsia" w:ascii="仿宋" w:hAnsi="仿宋" w:eastAsia="仿宋"/>
                <w:sz w:val="21"/>
                <w:szCs w:val="21"/>
                <w:u w:val="none"/>
                <w:lang w:val="en-US" w:eastAsia="zh-CN"/>
              </w:rPr>
            </w:pPr>
            <w:r>
              <w:rPr>
                <w:rFonts w:hint="eastAsia" w:ascii="仿宋" w:hAnsi="仿宋" w:eastAsia="仿宋"/>
                <w:sz w:val="21"/>
                <w:szCs w:val="21"/>
                <w:u w:val="none"/>
              </w:rPr>
              <w:t>建筑CAD</w:t>
            </w:r>
            <w:r>
              <w:rPr>
                <w:rFonts w:hint="eastAsia" w:ascii="仿宋" w:hAnsi="仿宋" w:eastAsia="仿宋"/>
                <w:sz w:val="21"/>
                <w:szCs w:val="21"/>
                <w:u w:val="none"/>
                <w:lang w:val="en-US" w:eastAsia="zh-CN"/>
              </w:rPr>
              <w:t xml:space="preserve">                  </w:t>
            </w:r>
          </w:p>
          <w:p>
            <w:pPr>
              <w:spacing w:line="240" w:lineRule="auto"/>
              <w:ind w:firstLine="0" w:firstLineChars="0"/>
              <w:jc w:val="center"/>
              <w:rPr>
                <w:rFonts w:hint="eastAsia" w:ascii="仿宋" w:hAnsi="仿宋" w:eastAsia="仿宋"/>
                <w:sz w:val="21"/>
                <w:szCs w:val="21"/>
                <w:u w:val="none"/>
                <w:lang w:val="en-US" w:eastAsia="zh-CN"/>
              </w:rPr>
            </w:pPr>
            <w:r>
              <w:rPr>
                <w:rFonts w:hint="eastAsia" w:ascii="仿宋" w:hAnsi="仿宋" w:eastAsia="仿宋"/>
                <w:sz w:val="21"/>
                <w:szCs w:val="21"/>
                <w:u w:val="none"/>
              </w:rPr>
              <w:t>钢筋混凝土结构施工图平法识图</w:t>
            </w:r>
            <w:r>
              <w:rPr>
                <w:rFonts w:hint="eastAsia" w:ascii="仿宋" w:hAnsi="仿宋" w:eastAsia="仿宋"/>
                <w:sz w:val="21"/>
                <w:szCs w:val="21"/>
                <w:u w:val="none"/>
                <w:lang w:val="en-US" w:eastAsia="zh-CN"/>
              </w:rPr>
              <w:t xml:space="preserve">                       </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sz w:val="21"/>
                <w:szCs w:val="21"/>
                <w:u w:val="none"/>
              </w:rPr>
              <w:t>建筑设备与安装识图</w:t>
            </w:r>
          </w:p>
        </w:tc>
        <w:tc>
          <w:tcPr>
            <w:tcW w:w="94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90</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61"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1928"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房地产分析师</w:t>
            </w:r>
          </w:p>
        </w:tc>
        <w:tc>
          <w:tcPr>
            <w:tcW w:w="132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中级</w:t>
            </w:r>
          </w:p>
        </w:tc>
        <w:tc>
          <w:tcPr>
            <w:tcW w:w="87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3197"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工程经济学</w:t>
            </w:r>
          </w:p>
        </w:tc>
        <w:tc>
          <w:tcPr>
            <w:tcW w:w="947"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661"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5</w:t>
            </w:r>
          </w:p>
        </w:tc>
        <w:tc>
          <w:tcPr>
            <w:tcW w:w="1928"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物业管理部门经理</w:t>
            </w:r>
          </w:p>
        </w:tc>
        <w:tc>
          <w:tcPr>
            <w:tcW w:w="132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初级</w:t>
            </w:r>
          </w:p>
        </w:tc>
        <w:tc>
          <w:tcPr>
            <w:tcW w:w="87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3197"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47"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61"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1928" w:type="dxa"/>
            <w:noWrap w:val="0"/>
            <w:vAlign w:val="center"/>
          </w:tcPr>
          <w:p>
            <w:pPr>
              <w:spacing w:line="240" w:lineRule="auto"/>
              <w:ind w:firstLine="0" w:firstLineChars="0"/>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初级审计师</w:t>
            </w:r>
          </w:p>
        </w:tc>
        <w:tc>
          <w:tcPr>
            <w:tcW w:w="132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初级</w:t>
            </w:r>
          </w:p>
        </w:tc>
        <w:tc>
          <w:tcPr>
            <w:tcW w:w="87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3197" w:type="dxa"/>
            <w:vMerge w:val="restart"/>
            <w:noWrap w:val="0"/>
            <w:vAlign w:val="center"/>
          </w:tcPr>
          <w:p>
            <w:pPr>
              <w:spacing w:line="240" w:lineRule="auto"/>
              <w:ind w:firstLine="0" w:firstLineChars="0"/>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基础会计</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sz w:val="21"/>
                <w:szCs w:val="21"/>
                <w:u w:val="none"/>
              </w:rPr>
              <w:t>建设工程造价管理与投资审计</w:t>
            </w:r>
          </w:p>
        </w:tc>
        <w:tc>
          <w:tcPr>
            <w:tcW w:w="947"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jc w:val="center"/>
        </w:trPr>
        <w:tc>
          <w:tcPr>
            <w:tcW w:w="661"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7</w:t>
            </w:r>
          </w:p>
        </w:tc>
        <w:tc>
          <w:tcPr>
            <w:tcW w:w="1928" w:type="dxa"/>
            <w:noWrap w:val="0"/>
            <w:vAlign w:val="center"/>
          </w:tcPr>
          <w:p>
            <w:pPr>
              <w:spacing w:line="240" w:lineRule="auto"/>
              <w:ind w:firstLine="0" w:firstLineChars="0"/>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初级会计师</w:t>
            </w:r>
          </w:p>
        </w:tc>
        <w:tc>
          <w:tcPr>
            <w:tcW w:w="1327"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初级</w:t>
            </w:r>
          </w:p>
        </w:tc>
        <w:tc>
          <w:tcPr>
            <w:tcW w:w="87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3197"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47"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r>
    </w:tbl>
    <w:p>
      <w:pPr>
        <w:keepNext/>
        <w:keepLines/>
        <w:adjustRightInd w:val="0"/>
        <w:snapToGrid w:val="0"/>
        <w:spacing w:before="156" w:beforeLines="50"/>
        <w:ind w:firstLine="482"/>
        <w:rPr>
          <w:rFonts w:hint="eastAsia" w:ascii="宋体" w:hAnsi="宋体" w:cs="宋体"/>
          <w:b/>
          <w:szCs w:val="24"/>
          <w:u w:val="none"/>
        </w:rPr>
      </w:pPr>
      <w:r>
        <w:rPr>
          <w:rFonts w:hint="eastAsia" w:ascii="宋体" w:hAnsi="宋体" w:cs="宋体"/>
          <w:b/>
          <w:szCs w:val="24"/>
          <w:u w:val="none"/>
        </w:rPr>
        <w:t>（2）学习能力类证书</w:t>
      </w:r>
      <w:bookmarkEnd w:id="225"/>
      <w:bookmarkEnd w:id="226"/>
      <w:bookmarkEnd w:id="227"/>
    </w:p>
    <w:p>
      <w:pPr>
        <w:adjustRightInd w:val="0"/>
        <w:snapToGrid w:val="0"/>
        <w:ind w:firstLine="480"/>
        <w:rPr>
          <w:rFonts w:hint="eastAsia"/>
          <w:u w:val="none"/>
        </w:rPr>
      </w:pPr>
      <w:r>
        <w:rPr>
          <w:rFonts w:hint="eastAsia"/>
          <w:u w:val="none"/>
        </w:rPr>
        <w:t>学习能力类证书包括高等学校英语应用能力考试AB级证书、全国大学英语四六级证书、全国计算机等级考试证书和安徽省计算机水平考试证书以及网络课程成绩合格的结业证书等，所对应的转换课程见表9</w:t>
      </w:r>
      <w:r>
        <w:rPr>
          <w:u w:val="none"/>
        </w:rPr>
        <w:t>-</w:t>
      </w:r>
      <w:r>
        <w:rPr>
          <w:rFonts w:hint="eastAsia"/>
          <w:u w:val="none"/>
        </w:rPr>
        <w:t>2。</w:t>
      </w:r>
    </w:p>
    <w:p>
      <w:pPr>
        <w:adjustRightInd w:val="0"/>
        <w:snapToGrid w:val="0"/>
        <w:ind w:firstLine="0" w:firstLineChars="0"/>
        <w:jc w:val="center"/>
        <w:rPr>
          <w:rFonts w:ascii="黑体" w:hAnsi="黑体" w:eastAsia="黑体"/>
          <w:b/>
          <w:sz w:val="21"/>
          <w:szCs w:val="21"/>
          <w:u w:val="none"/>
        </w:rPr>
      </w:pPr>
      <w:r>
        <w:rPr>
          <w:rFonts w:hint="eastAsia" w:ascii="黑体" w:hAnsi="黑体" w:eastAsia="黑体"/>
          <w:b/>
          <w:sz w:val="21"/>
          <w:szCs w:val="21"/>
          <w:u w:val="none"/>
        </w:rPr>
        <w:t>表9-2  学习能力类证书与转换课程表</w:t>
      </w:r>
    </w:p>
    <w:tbl>
      <w:tblPr>
        <w:tblStyle w:val="1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59"/>
        <w:gridCol w:w="2160"/>
        <w:gridCol w:w="735"/>
        <w:gridCol w:w="174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79" w:type="dxa"/>
            <w:noWrap w:val="0"/>
            <w:vAlign w:val="center"/>
          </w:tcPr>
          <w:p>
            <w:pPr>
              <w:spacing w:line="240" w:lineRule="auto"/>
              <w:ind w:firstLine="0" w:firstLineChars="0"/>
              <w:jc w:val="center"/>
              <w:rPr>
                <w:rFonts w:hint="eastAsia" w:ascii="仿宋" w:hAnsi="仿宋" w:eastAsia="仿宋" w:cs="仿宋"/>
                <w:b/>
                <w:bCs/>
                <w:sz w:val="21"/>
                <w:szCs w:val="21"/>
                <w:u w:val="none"/>
              </w:rPr>
            </w:pPr>
            <w:bookmarkStart w:id="228" w:name="_Toc16937"/>
            <w:r>
              <w:rPr>
                <w:rFonts w:hint="eastAsia" w:ascii="仿宋" w:hAnsi="仿宋" w:eastAsia="仿宋" w:cs="仿宋"/>
                <w:b/>
                <w:bCs/>
                <w:sz w:val="21"/>
                <w:szCs w:val="21"/>
                <w:u w:val="none"/>
              </w:rPr>
              <w:t>序号</w:t>
            </w:r>
          </w:p>
        </w:tc>
        <w:tc>
          <w:tcPr>
            <w:tcW w:w="1759"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证书类型</w:t>
            </w:r>
          </w:p>
        </w:tc>
        <w:tc>
          <w:tcPr>
            <w:tcW w:w="2160"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发证机构</w:t>
            </w:r>
          </w:p>
        </w:tc>
        <w:tc>
          <w:tcPr>
            <w:tcW w:w="735"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学分</w:t>
            </w:r>
          </w:p>
        </w:tc>
        <w:tc>
          <w:tcPr>
            <w:tcW w:w="1740" w:type="dxa"/>
            <w:noWrap w:val="0"/>
            <w:vAlign w:val="center"/>
          </w:tcPr>
          <w:p>
            <w:pPr>
              <w:spacing w:line="240" w:lineRule="auto"/>
              <w:ind w:firstLine="0" w:firstLineChars="0"/>
              <w:jc w:val="center"/>
              <w:rPr>
                <w:rFonts w:hint="eastAsia" w:ascii="仿宋" w:hAnsi="仿宋" w:eastAsia="仿宋" w:cs="仿宋"/>
                <w:b/>
                <w:bCs/>
                <w:kern w:val="2"/>
                <w:sz w:val="21"/>
                <w:szCs w:val="21"/>
                <w:u w:val="none"/>
                <w:lang w:val="en-US" w:eastAsia="zh-CN" w:bidi="ar-SA"/>
              </w:rPr>
            </w:pPr>
            <w:r>
              <w:rPr>
                <w:rFonts w:hint="eastAsia" w:ascii="仿宋" w:hAnsi="仿宋" w:eastAsia="仿宋" w:cs="仿宋"/>
                <w:b/>
                <w:bCs/>
                <w:sz w:val="21"/>
                <w:szCs w:val="21"/>
                <w:u w:val="none"/>
              </w:rPr>
              <w:t>可转换课程</w:t>
            </w:r>
          </w:p>
        </w:tc>
        <w:tc>
          <w:tcPr>
            <w:tcW w:w="2136"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w:t>
            </w:r>
          </w:p>
        </w:tc>
        <w:tc>
          <w:tcPr>
            <w:tcW w:w="1759"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全国计算机等级考试</w:t>
            </w:r>
          </w:p>
        </w:tc>
        <w:tc>
          <w:tcPr>
            <w:tcW w:w="2160"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教育部国家教育考试中心</w:t>
            </w:r>
          </w:p>
        </w:tc>
        <w:tc>
          <w:tcPr>
            <w:tcW w:w="735"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1740" w:type="dxa"/>
            <w:noWrap w:val="0"/>
            <w:vAlign w:val="center"/>
          </w:tcPr>
          <w:p>
            <w:pPr>
              <w:spacing w:line="240" w:lineRule="auto"/>
              <w:ind w:firstLine="0" w:firstLineChars="0"/>
              <w:jc w:val="center"/>
              <w:rPr>
                <w:rFonts w:hint="eastAsia" w:ascii="仿宋" w:hAnsi="仿宋" w:eastAsia="仿宋" w:cs="仿宋"/>
                <w:kern w:val="2"/>
                <w:sz w:val="21"/>
                <w:szCs w:val="21"/>
                <w:u w:val="none"/>
                <w:lang w:val="en-US" w:eastAsia="zh-CN" w:bidi="ar-SA"/>
              </w:rPr>
            </w:pPr>
            <w:r>
              <w:rPr>
                <w:rFonts w:hint="eastAsia" w:ascii="仿宋" w:hAnsi="仿宋" w:eastAsia="仿宋" w:cs="仿宋"/>
                <w:sz w:val="21"/>
                <w:szCs w:val="21"/>
                <w:u w:val="none"/>
                <w:lang w:eastAsia="zh-CN"/>
              </w:rPr>
              <w:t>信息技术</w:t>
            </w:r>
            <w:r>
              <w:rPr>
                <w:rFonts w:hint="eastAsia" w:ascii="仿宋" w:hAnsi="仿宋" w:eastAsia="仿宋" w:cs="仿宋"/>
                <w:sz w:val="21"/>
                <w:szCs w:val="21"/>
                <w:u w:val="none"/>
              </w:rPr>
              <w:t>基础</w:t>
            </w:r>
          </w:p>
        </w:tc>
        <w:tc>
          <w:tcPr>
            <w:tcW w:w="213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1759"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安徽省计算机水平考试</w:t>
            </w:r>
          </w:p>
        </w:tc>
        <w:tc>
          <w:tcPr>
            <w:tcW w:w="2160"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安徽省人事考试院</w:t>
            </w:r>
          </w:p>
        </w:tc>
        <w:tc>
          <w:tcPr>
            <w:tcW w:w="735"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1740" w:type="dxa"/>
            <w:noWrap w:val="0"/>
            <w:vAlign w:val="center"/>
          </w:tcPr>
          <w:p>
            <w:pPr>
              <w:spacing w:line="240" w:lineRule="auto"/>
              <w:ind w:firstLine="0" w:firstLineChars="0"/>
              <w:jc w:val="center"/>
              <w:rPr>
                <w:rFonts w:hint="eastAsia" w:ascii="仿宋" w:hAnsi="仿宋" w:eastAsia="仿宋" w:cs="仿宋"/>
                <w:kern w:val="2"/>
                <w:sz w:val="21"/>
                <w:szCs w:val="21"/>
                <w:u w:val="none"/>
                <w:lang w:val="en-US" w:eastAsia="zh-CN" w:bidi="ar-SA"/>
              </w:rPr>
            </w:pPr>
            <w:r>
              <w:rPr>
                <w:rFonts w:hint="eastAsia" w:ascii="仿宋" w:hAnsi="仿宋" w:eastAsia="仿宋" w:cs="仿宋"/>
                <w:sz w:val="21"/>
                <w:szCs w:val="21"/>
                <w:u w:val="none"/>
                <w:lang w:eastAsia="zh-CN"/>
              </w:rPr>
              <w:t>信息技术</w:t>
            </w:r>
            <w:r>
              <w:rPr>
                <w:rFonts w:hint="eastAsia" w:ascii="仿宋" w:hAnsi="仿宋" w:eastAsia="仿宋" w:cs="仿宋"/>
                <w:sz w:val="21"/>
                <w:szCs w:val="21"/>
                <w:u w:val="none"/>
              </w:rPr>
              <w:t>基础</w:t>
            </w:r>
          </w:p>
        </w:tc>
        <w:tc>
          <w:tcPr>
            <w:tcW w:w="213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3</w:t>
            </w:r>
          </w:p>
        </w:tc>
        <w:tc>
          <w:tcPr>
            <w:tcW w:w="1759"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高等学校英语A级考试</w:t>
            </w:r>
          </w:p>
        </w:tc>
        <w:tc>
          <w:tcPr>
            <w:tcW w:w="2160"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"https://www.baidu.com/s?wd=%E9%AB%98%E7%AD%89%E5%AD%A6%E6%A0%A1%E8%8B%B1%E8%AF%AD%E5%BA%94%E7%94%A8%E8%83%BD%E5%8A%9B%E8%80%83%E8%AF%95&amp;tn=SE_PcZhidaonwhc_ngpagmjz&amp;rsv_dl=gh_pc_zhidao" \t "https://zhidao.baidu.com/question/_blank" </w:instrText>
            </w:r>
            <w:r>
              <w:rPr>
                <w:rFonts w:hint="eastAsia" w:ascii="仿宋" w:hAnsi="仿宋" w:eastAsia="仿宋" w:cs="仿宋"/>
                <w:sz w:val="21"/>
                <w:szCs w:val="21"/>
                <w:u w:val="none"/>
              </w:rPr>
              <w:fldChar w:fldCharType="separate"/>
            </w:r>
            <w:r>
              <w:rPr>
                <w:rFonts w:hint="eastAsia" w:ascii="仿宋" w:hAnsi="仿宋" w:eastAsia="仿宋" w:cs="仿宋"/>
                <w:sz w:val="21"/>
                <w:szCs w:val="21"/>
                <w:u w:val="none"/>
              </w:rPr>
              <w:t>高等学校英语应用能力考试</w:t>
            </w:r>
            <w:r>
              <w:rPr>
                <w:rFonts w:hint="eastAsia" w:ascii="仿宋" w:hAnsi="仿宋" w:eastAsia="仿宋" w:cs="仿宋"/>
                <w:sz w:val="21"/>
                <w:szCs w:val="21"/>
                <w:u w:val="none"/>
              </w:rPr>
              <w:fldChar w:fldCharType="end"/>
            </w:r>
            <w:r>
              <w:rPr>
                <w:rFonts w:hint="eastAsia" w:ascii="仿宋" w:hAnsi="仿宋" w:eastAsia="仿宋" w:cs="仿宋"/>
                <w:sz w:val="21"/>
                <w:szCs w:val="21"/>
                <w:u w:val="none"/>
              </w:rPr>
              <w:t>委员会</w:t>
            </w:r>
          </w:p>
        </w:tc>
        <w:tc>
          <w:tcPr>
            <w:tcW w:w="735"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1740" w:type="dxa"/>
            <w:vMerge w:val="restart"/>
            <w:noWrap w:val="0"/>
            <w:vAlign w:val="center"/>
          </w:tcPr>
          <w:p>
            <w:pPr>
              <w:spacing w:line="240" w:lineRule="auto"/>
              <w:ind w:firstLine="0" w:firstLineChars="0"/>
              <w:jc w:val="center"/>
              <w:rPr>
                <w:rFonts w:hint="eastAsia" w:ascii="仿宋" w:hAnsi="仿宋" w:eastAsia="仿宋" w:cs="仿宋"/>
                <w:kern w:val="2"/>
                <w:sz w:val="21"/>
                <w:szCs w:val="21"/>
                <w:u w:val="none"/>
                <w:lang w:val="en-US" w:eastAsia="zh-CN" w:bidi="ar-SA"/>
              </w:rPr>
            </w:pPr>
            <w:r>
              <w:rPr>
                <w:rFonts w:hint="eastAsia" w:ascii="仿宋" w:hAnsi="仿宋" w:eastAsia="仿宋" w:cs="仿宋"/>
                <w:sz w:val="21"/>
                <w:szCs w:val="21"/>
                <w:u w:val="none"/>
              </w:rPr>
              <w:t>英语</w:t>
            </w:r>
          </w:p>
        </w:tc>
        <w:tc>
          <w:tcPr>
            <w:tcW w:w="213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1759"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高等学校英语B级考试</w:t>
            </w:r>
          </w:p>
        </w:tc>
        <w:tc>
          <w:tcPr>
            <w:tcW w:w="2160"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fldChar w:fldCharType="begin"/>
            </w:r>
            <w:r>
              <w:rPr>
                <w:rFonts w:hint="eastAsia" w:ascii="仿宋" w:hAnsi="仿宋" w:eastAsia="仿宋" w:cs="仿宋"/>
                <w:sz w:val="21"/>
                <w:szCs w:val="21"/>
                <w:u w:val="none"/>
              </w:rPr>
              <w:instrText xml:space="preserve"> HYPERLINK "https://www.baidu.com/s?wd=%E9%AB%98%E7%AD%89%E5%AD%A6%E6%A0%A1%E8%8B%B1%E8%AF%AD%E5%BA%94%E7%94%A8%E8%83%BD%E5%8A%9B%E8%80%83%E8%AF%95&amp;tn=SE_PcZhidaonwhc_ngpagmjz&amp;rsv_dl=gh_pc_zhidao" \t "https://zhidao.baidu.com/question/_blank" </w:instrText>
            </w:r>
            <w:r>
              <w:rPr>
                <w:rFonts w:hint="eastAsia" w:ascii="仿宋" w:hAnsi="仿宋" w:eastAsia="仿宋" w:cs="仿宋"/>
                <w:sz w:val="21"/>
                <w:szCs w:val="21"/>
                <w:u w:val="none"/>
              </w:rPr>
              <w:fldChar w:fldCharType="separate"/>
            </w:r>
            <w:r>
              <w:rPr>
                <w:rFonts w:hint="eastAsia" w:ascii="仿宋" w:hAnsi="仿宋" w:eastAsia="仿宋" w:cs="仿宋"/>
                <w:sz w:val="21"/>
                <w:szCs w:val="21"/>
                <w:u w:val="none"/>
              </w:rPr>
              <w:t>高等学校英语应用能力考试</w:t>
            </w:r>
            <w:r>
              <w:rPr>
                <w:rFonts w:hint="eastAsia" w:ascii="仿宋" w:hAnsi="仿宋" w:eastAsia="仿宋" w:cs="仿宋"/>
                <w:sz w:val="21"/>
                <w:szCs w:val="21"/>
                <w:u w:val="none"/>
              </w:rPr>
              <w:fldChar w:fldCharType="end"/>
            </w:r>
            <w:r>
              <w:rPr>
                <w:rFonts w:hint="eastAsia" w:ascii="仿宋" w:hAnsi="仿宋" w:eastAsia="仿宋" w:cs="仿宋"/>
                <w:sz w:val="21"/>
                <w:szCs w:val="21"/>
                <w:u w:val="none"/>
              </w:rPr>
              <w:t>委员会</w:t>
            </w:r>
          </w:p>
        </w:tc>
        <w:tc>
          <w:tcPr>
            <w:tcW w:w="735"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174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213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5</w:t>
            </w:r>
          </w:p>
        </w:tc>
        <w:tc>
          <w:tcPr>
            <w:tcW w:w="1759"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全国大学英语四级考试</w:t>
            </w:r>
          </w:p>
        </w:tc>
        <w:tc>
          <w:tcPr>
            <w:tcW w:w="2160"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全国大学英语四六级考试委员会</w:t>
            </w:r>
          </w:p>
        </w:tc>
        <w:tc>
          <w:tcPr>
            <w:tcW w:w="735"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174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213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79"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1759"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全国大学英语六级考试</w:t>
            </w:r>
          </w:p>
        </w:tc>
        <w:tc>
          <w:tcPr>
            <w:tcW w:w="2160" w:type="dxa"/>
            <w:noWrap w:val="0"/>
            <w:vAlign w:val="center"/>
          </w:tcPr>
          <w:p>
            <w:pPr>
              <w:adjustRightInd w:val="0"/>
              <w:snapToGrid w:val="0"/>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全国大学英语四六级考试委员会</w:t>
            </w:r>
          </w:p>
        </w:tc>
        <w:tc>
          <w:tcPr>
            <w:tcW w:w="735"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174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213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bl>
    <w:p>
      <w:pPr>
        <w:keepNext/>
        <w:keepLines/>
        <w:adjustRightInd w:val="0"/>
        <w:snapToGrid w:val="0"/>
        <w:spacing w:before="156" w:beforeLines="50"/>
        <w:ind w:firstLine="482"/>
        <w:rPr>
          <w:rFonts w:hint="eastAsia" w:ascii="宋体" w:hAnsi="宋体" w:cs="宋体"/>
          <w:b/>
          <w:szCs w:val="24"/>
          <w:u w:val="none"/>
        </w:rPr>
      </w:pPr>
      <w:r>
        <w:rPr>
          <w:rFonts w:hint="eastAsia" w:ascii="宋体" w:hAnsi="宋体" w:cs="宋体"/>
          <w:b/>
          <w:szCs w:val="24"/>
          <w:u w:val="none"/>
        </w:rPr>
        <w:t>（3）技能竞赛获奖证书</w:t>
      </w:r>
      <w:bookmarkEnd w:id="228"/>
    </w:p>
    <w:p>
      <w:pPr>
        <w:adjustRightInd w:val="0"/>
        <w:snapToGrid w:val="0"/>
        <w:ind w:firstLine="480"/>
        <w:rPr>
          <w:rFonts w:hint="eastAsia"/>
          <w:u w:val="none"/>
        </w:rPr>
      </w:pPr>
      <w:r>
        <w:rPr>
          <w:rFonts w:hint="eastAsia"/>
          <w:u w:val="none"/>
        </w:rPr>
        <w:t>技能竞赛类包括各专业相关学科和技能竞赛获奖证书。团体比赛所有成员在学分申请上享受同等待遇。建设</w:t>
      </w:r>
      <w:r>
        <w:rPr>
          <w:u w:val="none"/>
        </w:rPr>
        <w:t>项目信息化管理专业</w:t>
      </w:r>
      <w:r>
        <w:rPr>
          <w:rFonts w:hint="eastAsia"/>
          <w:u w:val="none"/>
        </w:rPr>
        <w:t>学生参加的各类技能竞赛获奖证书所对应的转换课程见表9</w:t>
      </w:r>
      <w:r>
        <w:rPr>
          <w:u w:val="none"/>
        </w:rPr>
        <w:t>-</w:t>
      </w:r>
      <w:r>
        <w:rPr>
          <w:rFonts w:hint="eastAsia"/>
          <w:u w:val="none"/>
        </w:rPr>
        <w:t>3。</w:t>
      </w:r>
    </w:p>
    <w:p>
      <w:pPr>
        <w:spacing w:line="240" w:lineRule="auto"/>
        <w:ind w:firstLine="0" w:firstLineChars="0"/>
        <w:jc w:val="center"/>
        <w:rPr>
          <w:rFonts w:hint="eastAsia" w:ascii="黑体" w:hAnsi="黑体" w:eastAsia="黑体"/>
          <w:b/>
          <w:sz w:val="21"/>
          <w:szCs w:val="21"/>
          <w:u w:val="none"/>
        </w:rPr>
      </w:pPr>
      <w:r>
        <w:rPr>
          <w:rFonts w:hint="eastAsia" w:ascii="黑体" w:hAnsi="黑体" w:eastAsia="黑体"/>
          <w:b/>
          <w:sz w:val="21"/>
          <w:szCs w:val="21"/>
          <w:u w:val="none"/>
        </w:rPr>
        <w:t>表9-3  技能竞赛与转换课程表</w:t>
      </w:r>
    </w:p>
    <w:tbl>
      <w:tblPr>
        <w:tblStyle w:val="1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849"/>
        <w:gridCol w:w="750"/>
        <w:gridCol w:w="990"/>
        <w:gridCol w:w="960"/>
        <w:gridCol w:w="720"/>
        <w:gridCol w:w="220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8"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序号</w:t>
            </w:r>
          </w:p>
        </w:tc>
        <w:tc>
          <w:tcPr>
            <w:tcW w:w="1849"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技能竞赛名称</w:t>
            </w:r>
          </w:p>
        </w:tc>
        <w:tc>
          <w:tcPr>
            <w:tcW w:w="750"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竞赛级别</w:t>
            </w:r>
          </w:p>
        </w:tc>
        <w:tc>
          <w:tcPr>
            <w:tcW w:w="990"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参赛</w:t>
            </w:r>
          </w:p>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形式</w:t>
            </w:r>
          </w:p>
        </w:tc>
        <w:tc>
          <w:tcPr>
            <w:tcW w:w="960"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获奖</w:t>
            </w:r>
          </w:p>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等级</w:t>
            </w:r>
          </w:p>
        </w:tc>
        <w:tc>
          <w:tcPr>
            <w:tcW w:w="720"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学分</w:t>
            </w:r>
          </w:p>
        </w:tc>
        <w:tc>
          <w:tcPr>
            <w:tcW w:w="2205"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转换课程</w:t>
            </w:r>
          </w:p>
        </w:tc>
        <w:tc>
          <w:tcPr>
            <w:tcW w:w="986" w:type="dxa"/>
            <w:noWrap w:val="0"/>
            <w:vAlign w:val="center"/>
          </w:tcPr>
          <w:p>
            <w:pPr>
              <w:spacing w:line="240" w:lineRule="auto"/>
              <w:ind w:firstLine="0" w:firstLineChars="0"/>
              <w:jc w:val="center"/>
              <w:rPr>
                <w:rFonts w:hint="eastAsia" w:ascii="仿宋" w:hAnsi="仿宋" w:eastAsia="仿宋" w:cs="仿宋"/>
                <w:b/>
                <w:bCs/>
                <w:sz w:val="21"/>
                <w:szCs w:val="21"/>
                <w:u w:val="none"/>
              </w:rPr>
            </w:pPr>
            <w:r>
              <w:rPr>
                <w:rFonts w:hint="eastAsia" w:ascii="仿宋" w:hAnsi="仿宋" w:eastAsia="仿宋" w:cs="仿宋"/>
                <w:b/>
                <w:bCs/>
                <w:sz w:val="21"/>
                <w:szCs w:val="21"/>
                <w:u w:val="none"/>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安徽省大学生先进成图技术与产品信息建模创新大赛</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建筑工程制图</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建筑CAD</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全国高等院校工程造价技能及创新竞赛</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建筑工程计量与计价</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安装工程计量与计价</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3</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安徽省职业院校技能大赛高职组工程测量</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工程测量</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安徽省大学生力学竞赛赛项</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建筑力学</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5</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安徽省高校建筑信息模型（BIM）应用技能大赛</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建筑力学</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建筑结构</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施工技术</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园林景观设计与施工</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建筑CAD</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7</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安徽省“互联网+”大学生创新创业大赛</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大学生创新基础</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大学生创业</w:t>
            </w:r>
            <w:r>
              <w:rPr>
                <w:rFonts w:hint="eastAsia" w:ascii="仿宋" w:hAnsi="仿宋" w:eastAsia="仿宋" w:cs="仿宋"/>
                <w:sz w:val="21"/>
                <w:szCs w:val="21"/>
                <w:u w:val="none"/>
                <w:lang w:eastAsia="zh-CN"/>
              </w:rPr>
              <w:t>基础</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安徽省职业院校技能大赛高职组建筑工程识图比赛</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建筑工程制图</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建筑CAD</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“国元证券杯”安徽省大学生金融投资创新大赛股票虚拟仿真交易赛项</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基础会计</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全国高校BIM毕业设计大赛</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C类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建筑工程计量与计价</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安装工程计量与计价</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建筑信息化</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1.5</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1.5</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88"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11</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安徽省高校建筑信息模型（BIM）应用大赛</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C类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建筑工程计量与计价</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安装工程计量与计价</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建筑信息化</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left"/>
              <w:rPr>
                <w:rFonts w:hint="eastAsia" w:ascii="仿宋" w:hAnsi="仿宋" w:eastAsia="仿宋" w:cs="仿宋"/>
                <w:sz w:val="21"/>
                <w:szCs w:val="21"/>
                <w:u w:val="none"/>
              </w:rPr>
            </w:pPr>
          </w:p>
        </w:tc>
        <w:tc>
          <w:tcPr>
            <w:tcW w:w="1849" w:type="dxa"/>
            <w:vMerge w:val="continue"/>
            <w:noWrap w:val="0"/>
            <w:vAlign w:val="center"/>
          </w:tcPr>
          <w:p>
            <w:pPr>
              <w:ind w:firstLine="0" w:firstLineChars="0"/>
              <w:jc w:val="left"/>
              <w:rPr>
                <w:rFonts w:hint="eastAsia" w:ascii="仿宋" w:hAnsi="仿宋" w:eastAsia="仿宋" w:cs="仿宋"/>
                <w:sz w:val="21"/>
                <w:szCs w:val="21"/>
                <w:u w:val="none"/>
              </w:rPr>
            </w:pPr>
          </w:p>
        </w:tc>
        <w:tc>
          <w:tcPr>
            <w:tcW w:w="750" w:type="dxa"/>
            <w:vMerge w:val="continue"/>
            <w:noWrap w:val="0"/>
            <w:vAlign w:val="center"/>
          </w:tcPr>
          <w:p>
            <w:pPr>
              <w:ind w:firstLine="0" w:firstLineChars="0"/>
              <w:jc w:val="left"/>
              <w:rPr>
                <w:rFonts w:hint="eastAsia" w:ascii="仿宋" w:hAnsi="仿宋" w:eastAsia="仿宋" w:cs="仿宋"/>
                <w:sz w:val="21"/>
                <w:szCs w:val="21"/>
                <w:u w:val="none"/>
              </w:rPr>
            </w:pPr>
          </w:p>
        </w:tc>
        <w:tc>
          <w:tcPr>
            <w:tcW w:w="990" w:type="dxa"/>
            <w:vMerge w:val="continue"/>
            <w:noWrap w:val="0"/>
            <w:vAlign w:val="center"/>
          </w:tcPr>
          <w:p>
            <w:pPr>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1.5</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dxa"/>
            <w:vMerge w:val="continue"/>
            <w:noWrap w:val="0"/>
            <w:vAlign w:val="center"/>
          </w:tcPr>
          <w:p>
            <w:pPr>
              <w:ind w:firstLine="0" w:firstLineChars="0"/>
              <w:jc w:val="left"/>
              <w:rPr>
                <w:rFonts w:hint="eastAsia" w:ascii="仿宋" w:hAnsi="仿宋" w:eastAsia="仿宋" w:cs="仿宋"/>
                <w:sz w:val="21"/>
                <w:szCs w:val="21"/>
                <w:u w:val="none"/>
              </w:rPr>
            </w:pPr>
          </w:p>
        </w:tc>
        <w:tc>
          <w:tcPr>
            <w:tcW w:w="1849" w:type="dxa"/>
            <w:vMerge w:val="continue"/>
            <w:noWrap w:val="0"/>
            <w:vAlign w:val="center"/>
          </w:tcPr>
          <w:p>
            <w:pPr>
              <w:ind w:firstLine="0" w:firstLineChars="0"/>
              <w:jc w:val="left"/>
              <w:rPr>
                <w:rFonts w:hint="eastAsia" w:ascii="仿宋" w:hAnsi="仿宋" w:eastAsia="仿宋" w:cs="仿宋"/>
                <w:sz w:val="21"/>
                <w:szCs w:val="21"/>
                <w:u w:val="none"/>
              </w:rPr>
            </w:pPr>
          </w:p>
        </w:tc>
        <w:tc>
          <w:tcPr>
            <w:tcW w:w="750" w:type="dxa"/>
            <w:vMerge w:val="continue"/>
            <w:noWrap w:val="0"/>
            <w:vAlign w:val="center"/>
          </w:tcPr>
          <w:p>
            <w:pPr>
              <w:ind w:firstLine="0" w:firstLineChars="0"/>
              <w:jc w:val="left"/>
              <w:rPr>
                <w:rFonts w:hint="eastAsia" w:ascii="仿宋" w:hAnsi="仿宋" w:eastAsia="仿宋" w:cs="仿宋"/>
                <w:sz w:val="21"/>
                <w:szCs w:val="21"/>
                <w:u w:val="none"/>
              </w:rPr>
            </w:pPr>
          </w:p>
        </w:tc>
        <w:tc>
          <w:tcPr>
            <w:tcW w:w="990" w:type="dxa"/>
            <w:vMerge w:val="continue"/>
            <w:noWrap w:val="0"/>
            <w:vAlign w:val="center"/>
          </w:tcPr>
          <w:p>
            <w:pPr>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left"/>
              <w:rPr>
                <w:rFonts w:hint="eastAsia" w:ascii="仿宋" w:hAnsi="仿宋" w:eastAsia="仿宋" w:cs="仿宋"/>
                <w:sz w:val="21"/>
                <w:szCs w:val="21"/>
                <w:u w:val="none"/>
              </w:rPr>
            </w:pPr>
          </w:p>
        </w:tc>
        <w:tc>
          <w:tcPr>
            <w:tcW w:w="1849" w:type="dxa"/>
            <w:vMerge w:val="continue"/>
            <w:noWrap w:val="0"/>
            <w:vAlign w:val="center"/>
          </w:tcPr>
          <w:p>
            <w:pPr>
              <w:ind w:firstLine="0" w:firstLineChars="0"/>
              <w:jc w:val="left"/>
              <w:rPr>
                <w:rFonts w:hint="eastAsia" w:ascii="仿宋" w:hAnsi="仿宋" w:eastAsia="仿宋" w:cs="仿宋"/>
                <w:sz w:val="21"/>
                <w:szCs w:val="21"/>
                <w:u w:val="none"/>
              </w:rPr>
            </w:pPr>
          </w:p>
        </w:tc>
        <w:tc>
          <w:tcPr>
            <w:tcW w:w="750" w:type="dxa"/>
            <w:vMerge w:val="continue"/>
            <w:noWrap w:val="0"/>
            <w:vAlign w:val="center"/>
          </w:tcPr>
          <w:p>
            <w:pPr>
              <w:ind w:firstLine="0" w:firstLineChars="0"/>
              <w:jc w:val="left"/>
              <w:rPr>
                <w:rFonts w:hint="eastAsia" w:ascii="仿宋" w:hAnsi="仿宋" w:eastAsia="仿宋" w:cs="仿宋"/>
                <w:sz w:val="21"/>
                <w:szCs w:val="21"/>
                <w:u w:val="none"/>
              </w:rPr>
            </w:pPr>
          </w:p>
        </w:tc>
        <w:tc>
          <w:tcPr>
            <w:tcW w:w="990" w:type="dxa"/>
            <w:vMerge w:val="restart"/>
            <w:noWrap w:val="0"/>
            <w:vAlign w:val="center"/>
          </w:tcPr>
          <w:p>
            <w:pPr>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2</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left"/>
              <w:rPr>
                <w:rFonts w:hint="eastAsia" w:ascii="仿宋" w:hAnsi="仿宋" w:eastAsia="仿宋" w:cs="仿宋"/>
                <w:sz w:val="21"/>
                <w:szCs w:val="21"/>
                <w:u w:val="none"/>
              </w:rPr>
            </w:pPr>
          </w:p>
        </w:tc>
        <w:tc>
          <w:tcPr>
            <w:tcW w:w="1849" w:type="dxa"/>
            <w:vMerge w:val="continue"/>
            <w:noWrap w:val="0"/>
            <w:vAlign w:val="center"/>
          </w:tcPr>
          <w:p>
            <w:pPr>
              <w:ind w:firstLine="0" w:firstLineChars="0"/>
              <w:jc w:val="left"/>
              <w:rPr>
                <w:rFonts w:hint="eastAsia" w:ascii="仿宋" w:hAnsi="仿宋" w:eastAsia="仿宋" w:cs="仿宋"/>
                <w:sz w:val="21"/>
                <w:szCs w:val="21"/>
                <w:u w:val="none"/>
              </w:rPr>
            </w:pPr>
          </w:p>
        </w:tc>
        <w:tc>
          <w:tcPr>
            <w:tcW w:w="750" w:type="dxa"/>
            <w:vMerge w:val="continue"/>
            <w:noWrap w:val="0"/>
            <w:vAlign w:val="center"/>
          </w:tcPr>
          <w:p>
            <w:pPr>
              <w:ind w:firstLine="0" w:firstLineChars="0"/>
              <w:jc w:val="left"/>
              <w:rPr>
                <w:rFonts w:hint="eastAsia" w:ascii="仿宋" w:hAnsi="仿宋" w:eastAsia="仿宋" w:cs="仿宋"/>
                <w:sz w:val="21"/>
                <w:szCs w:val="21"/>
                <w:u w:val="none"/>
              </w:rPr>
            </w:pPr>
          </w:p>
        </w:tc>
        <w:tc>
          <w:tcPr>
            <w:tcW w:w="990" w:type="dxa"/>
            <w:vMerge w:val="continue"/>
            <w:noWrap w:val="0"/>
            <w:vAlign w:val="center"/>
          </w:tcPr>
          <w:p>
            <w:pPr>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1.5</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left"/>
              <w:rPr>
                <w:rFonts w:hint="eastAsia" w:ascii="仿宋" w:hAnsi="仿宋" w:eastAsia="仿宋" w:cs="仿宋"/>
                <w:sz w:val="21"/>
                <w:szCs w:val="21"/>
                <w:u w:val="none"/>
              </w:rPr>
            </w:pPr>
          </w:p>
        </w:tc>
        <w:tc>
          <w:tcPr>
            <w:tcW w:w="1849" w:type="dxa"/>
            <w:vMerge w:val="continue"/>
            <w:noWrap w:val="0"/>
            <w:vAlign w:val="center"/>
          </w:tcPr>
          <w:p>
            <w:pPr>
              <w:ind w:firstLine="0" w:firstLineChars="0"/>
              <w:jc w:val="left"/>
              <w:rPr>
                <w:rFonts w:hint="eastAsia" w:ascii="仿宋" w:hAnsi="仿宋" w:eastAsia="仿宋" w:cs="仿宋"/>
                <w:sz w:val="21"/>
                <w:szCs w:val="21"/>
                <w:u w:val="none"/>
              </w:rPr>
            </w:pPr>
          </w:p>
        </w:tc>
        <w:tc>
          <w:tcPr>
            <w:tcW w:w="750" w:type="dxa"/>
            <w:vMerge w:val="continue"/>
            <w:noWrap w:val="0"/>
            <w:vAlign w:val="center"/>
          </w:tcPr>
          <w:p>
            <w:pPr>
              <w:ind w:firstLine="0" w:firstLineChars="0"/>
              <w:jc w:val="left"/>
              <w:rPr>
                <w:rFonts w:hint="eastAsia" w:ascii="仿宋" w:hAnsi="仿宋" w:eastAsia="仿宋" w:cs="仿宋"/>
                <w:sz w:val="21"/>
                <w:szCs w:val="21"/>
                <w:u w:val="none"/>
              </w:rPr>
            </w:pPr>
          </w:p>
        </w:tc>
        <w:tc>
          <w:tcPr>
            <w:tcW w:w="990" w:type="dxa"/>
            <w:vMerge w:val="continue"/>
            <w:noWrap w:val="0"/>
            <w:vAlign w:val="center"/>
          </w:tcPr>
          <w:p>
            <w:pPr>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12</w:t>
            </w:r>
          </w:p>
        </w:tc>
        <w:tc>
          <w:tcPr>
            <w:tcW w:w="1849"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安徽省大学生结构设计大赛</w:t>
            </w:r>
          </w:p>
        </w:tc>
        <w:tc>
          <w:tcPr>
            <w:tcW w:w="75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B类</w:t>
            </w: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个人赛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建筑力学</w:t>
            </w:r>
          </w:p>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建筑结构</w:t>
            </w: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restart"/>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团体赛</w:t>
            </w: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一等奖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8</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二等奖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6</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ind w:firstLine="0" w:firstLineChars="0"/>
              <w:jc w:val="center"/>
              <w:rPr>
                <w:rFonts w:hint="eastAsia" w:ascii="仿宋" w:hAnsi="仿宋" w:eastAsia="仿宋" w:cs="仿宋"/>
                <w:sz w:val="21"/>
                <w:szCs w:val="21"/>
                <w:u w:val="none"/>
              </w:rPr>
            </w:pPr>
          </w:p>
        </w:tc>
        <w:tc>
          <w:tcPr>
            <w:tcW w:w="1849"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75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90"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6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三等奖</w:t>
            </w:r>
          </w:p>
        </w:tc>
        <w:tc>
          <w:tcPr>
            <w:tcW w:w="720"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4</w:t>
            </w:r>
          </w:p>
        </w:tc>
        <w:tc>
          <w:tcPr>
            <w:tcW w:w="2205" w:type="dxa"/>
            <w:vMerge w:val="continue"/>
            <w:noWrap w:val="0"/>
            <w:vAlign w:val="center"/>
          </w:tcPr>
          <w:p>
            <w:pPr>
              <w:spacing w:line="240" w:lineRule="auto"/>
              <w:ind w:firstLine="0" w:firstLineChars="0"/>
              <w:jc w:val="center"/>
              <w:rPr>
                <w:rFonts w:hint="eastAsia" w:ascii="仿宋" w:hAnsi="仿宋" w:eastAsia="仿宋" w:cs="仿宋"/>
                <w:sz w:val="21"/>
                <w:szCs w:val="21"/>
                <w:u w:val="none"/>
              </w:rPr>
            </w:pPr>
          </w:p>
        </w:tc>
        <w:tc>
          <w:tcPr>
            <w:tcW w:w="986" w:type="dxa"/>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95</w:t>
            </w:r>
          </w:p>
        </w:tc>
      </w:tr>
    </w:tbl>
    <w:p>
      <w:pPr>
        <w:adjustRightInd w:val="0"/>
        <w:snapToGrid w:val="0"/>
        <w:spacing w:before="156" w:beforeLines="50"/>
        <w:ind w:firstLine="482"/>
        <w:rPr>
          <w:rFonts w:hint="eastAsia" w:ascii="宋体" w:hAnsi="宋体" w:cs="宋体"/>
          <w:b/>
          <w:szCs w:val="24"/>
          <w:u w:val="none"/>
        </w:rPr>
      </w:pPr>
      <w:r>
        <w:rPr>
          <w:rFonts w:hint="eastAsia" w:ascii="宋体" w:hAnsi="宋体" w:cs="宋体"/>
          <w:b/>
          <w:szCs w:val="24"/>
          <w:u w:val="none"/>
        </w:rPr>
        <w:t>（4）创新创业类</w:t>
      </w:r>
    </w:p>
    <w:p>
      <w:pPr>
        <w:adjustRightInd w:val="0"/>
        <w:snapToGrid w:val="0"/>
        <w:ind w:firstLine="480"/>
        <w:rPr>
          <w:rFonts w:hint="eastAsia" w:ascii="宋体" w:hAnsi="宋体"/>
          <w:szCs w:val="24"/>
          <w:u w:val="none"/>
        </w:rPr>
      </w:pPr>
      <w:r>
        <w:rPr>
          <w:rFonts w:hint="eastAsia" w:ascii="宋体" w:hAnsi="宋体"/>
          <w:szCs w:val="24"/>
          <w:u w:val="none"/>
        </w:rPr>
        <w:t>建筑经济管理专业学生获得省级及以上的创新创业项目（重点或一般）立项并完成项目，在校创业期间获得一定成绩诸如营业收入、专利、公开发表论文等等。可根据表9-4转换为对应具体课程的学分和成绩。</w:t>
      </w:r>
    </w:p>
    <w:p>
      <w:pPr>
        <w:ind w:firstLine="422"/>
        <w:jc w:val="center"/>
        <w:rPr>
          <w:rFonts w:hint="eastAsia" w:ascii="宋体" w:hAnsi="宋体"/>
          <w:b/>
          <w:szCs w:val="21"/>
          <w:u w:val="none"/>
        </w:rPr>
      </w:pPr>
      <w:r>
        <w:rPr>
          <w:rFonts w:hint="eastAsia" w:ascii="黑体" w:hAnsi="黑体" w:eastAsia="黑体" w:cs="黑体"/>
          <w:b/>
          <w:sz w:val="21"/>
          <w:szCs w:val="21"/>
          <w:u w:val="none"/>
        </w:rPr>
        <w:t>表9-4  创新创业与转换课程表</w:t>
      </w:r>
    </w:p>
    <w:tbl>
      <w:tblPr>
        <w:tblStyle w:val="18"/>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29"/>
        <w:gridCol w:w="3217"/>
        <w:gridCol w:w="763"/>
        <w:gridCol w:w="1898"/>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spacing w:line="300" w:lineRule="auto"/>
              <w:ind w:firstLine="0" w:firstLineChars="0"/>
              <w:jc w:val="center"/>
              <w:rPr>
                <w:rFonts w:hint="eastAsia" w:ascii="仿宋" w:hAnsi="仿宋" w:eastAsia="仿宋"/>
                <w:b/>
                <w:bCs/>
                <w:sz w:val="21"/>
                <w:szCs w:val="21"/>
                <w:u w:val="none"/>
              </w:rPr>
            </w:pPr>
            <w:r>
              <w:rPr>
                <w:rFonts w:hint="eastAsia" w:ascii="仿宋" w:hAnsi="仿宋" w:eastAsia="仿宋"/>
                <w:b/>
                <w:bCs/>
                <w:sz w:val="21"/>
                <w:szCs w:val="21"/>
                <w:u w:val="none"/>
              </w:rPr>
              <w:t>序号</w:t>
            </w:r>
          </w:p>
        </w:tc>
        <w:tc>
          <w:tcPr>
            <w:tcW w:w="1729" w:type="dxa"/>
            <w:noWrap w:val="0"/>
            <w:vAlign w:val="center"/>
          </w:tcPr>
          <w:p>
            <w:pPr>
              <w:spacing w:line="300" w:lineRule="auto"/>
              <w:ind w:firstLine="0" w:firstLineChars="0"/>
              <w:jc w:val="center"/>
              <w:rPr>
                <w:rFonts w:hint="eastAsia" w:ascii="仿宋" w:hAnsi="仿宋" w:eastAsia="仿宋"/>
                <w:b/>
                <w:bCs/>
                <w:sz w:val="21"/>
                <w:szCs w:val="21"/>
                <w:u w:val="none"/>
              </w:rPr>
            </w:pPr>
            <w:r>
              <w:rPr>
                <w:rFonts w:hint="eastAsia" w:ascii="仿宋" w:hAnsi="仿宋" w:eastAsia="仿宋"/>
                <w:b/>
                <w:bCs/>
                <w:sz w:val="21"/>
                <w:szCs w:val="21"/>
                <w:u w:val="none"/>
              </w:rPr>
              <w:t>课外创业活动</w:t>
            </w:r>
          </w:p>
        </w:tc>
        <w:tc>
          <w:tcPr>
            <w:tcW w:w="3217" w:type="dxa"/>
            <w:noWrap w:val="0"/>
            <w:vAlign w:val="center"/>
          </w:tcPr>
          <w:p>
            <w:pPr>
              <w:spacing w:line="300" w:lineRule="auto"/>
              <w:ind w:firstLine="0" w:firstLineChars="0"/>
              <w:jc w:val="center"/>
              <w:rPr>
                <w:rFonts w:hint="eastAsia" w:ascii="仿宋" w:hAnsi="仿宋" w:eastAsia="仿宋"/>
                <w:b/>
                <w:bCs/>
                <w:sz w:val="21"/>
                <w:szCs w:val="21"/>
                <w:u w:val="none"/>
              </w:rPr>
            </w:pPr>
            <w:r>
              <w:rPr>
                <w:rFonts w:hint="eastAsia" w:ascii="仿宋" w:hAnsi="仿宋" w:eastAsia="仿宋"/>
                <w:b/>
                <w:bCs/>
                <w:sz w:val="21"/>
                <w:szCs w:val="21"/>
                <w:u w:val="none"/>
              </w:rPr>
              <w:t>学分申请要求</w:t>
            </w:r>
          </w:p>
        </w:tc>
        <w:tc>
          <w:tcPr>
            <w:tcW w:w="763" w:type="dxa"/>
            <w:noWrap w:val="0"/>
            <w:vAlign w:val="center"/>
          </w:tcPr>
          <w:p>
            <w:pPr>
              <w:spacing w:line="300" w:lineRule="auto"/>
              <w:ind w:firstLine="0" w:firstLineChars="0"/>
              <w:jc w:val="center"/>
              <w:rPr>
                <w:rFonts w:hint="eastAsia" w:ascii="仿宋" w:hAnsi="仿宋" w:eastAsia="仿宋"/>
                <w:b/>
                <w:bCs/>
                <w:sz w:val="21"/>
                <w:szCs w:val="21"/>
                <w:u w:val="none"/>
              </w:rPr>
            </w:pPr>
            <w:r>
              <w:rPr>
                <w:rFonts w:hint="eastAsia" w:ascii="仿宋" w:hAnsi="仿宋" w:eastAsia="仿宋"/>
                <w:b/>
                <w:bCs/>
                <w:sz w:val="21"/>
                <w:szCs w:val="21"/>
                <w:u w:val="none"/>
              </w:rPr>
              <w:t>学分</w:t>
            </w:r>
          </w:p>
        </w:tc>
        <w:tc>
          <w:tcPr>
            <w:tcW w:w="1898" w:type="dxa"/>
            <w:noWrap w:val="0"/>
            <w:vAlign w:val="center"/>
          </w:tcPr>
          <w:p>
            <w:pPr>
              <w:spacing w:line="300" w:lineRule="auto"/>
              <w:ind w:firstLine="0" w:firstLineChars="0"/>
              <w:jc w:val="center"/>
              <w:rPr>
                <w:rFonts w:hint="eastAsia" w:ascii="仿宋" w:hAnsi="仿宋" w:eastAsia="仿宋"/>
                <w:b/>
                <w:bCs/>
                <w:sz w:val="21"/>
                <w:szCs w:val="21"/>
                <w:u w:val="none"/>
              </w:rPr>
            </w:pPr>
            <w:r>
              <w:rPr>
                <w:rFonts w:hint="eastAsia" w:ascii="仿宋" w:hAnsi="仿宋" w:eastAsia="仿宋"/>
                <w:b/>
                <w:bCs/>
                <w:sz w:val="21"/>
                <w:szCs w:val="21"/>
                <w:u w:val="none"/>
              </w:rPr>
              <w:t>可转换课程</w:t>
            </w:r>
          </w:p>
        </w:tc>
        <w:tc>
          <w:tcPr>
            <w:tcW w:w="664" w:type="dxa"/>
            <w:noWrap w:val="0"/>
            <w:vAlign w:val="center"/>
          </w:tcPr>
          <w:p>
            <w:pPr>
              <w:spacing w:line="300" w:lineRule="auto"/>
              <w:ind w:firstLine="0" w:firstLineChars="0"/>
              <w:jc w:val="center"/>
              <w:rPr>
                <w:rFonts w:hint="eastAsia" w:ascii="仿宋" w:hAnsi="仿宋" w:eastAsia="仿宋"/>
                <w:b/>
                <w:bCs/>
                <w:sz w:val="21"/>
                <w:szCs w:val="21"/>
                <w:u w:val="none"/>
              </w:rPr>
            </w:pPr>
            <w:r>
              <w:rPr>
                <w:rFonts w:hint="eastAsia" w:ascii="仿宋" w:hAnsi="仿宋" w:eastAsia="仿宋"/>
                <w:b/>
                <w:bCs/>
                <w:sz w:val="21"/>
                <w:szCs w:val="21"/>
                <w:u w:val="none"/>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1</w:t>
            </w:r>
          </w:p>
        </w:tc>
        <w:tc>
          <w:tcPr>
            <w:tcW w:w="1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注册公司、工作室、事务所等</w:t>
            </w:r>
          </w:p>
        </w:tc>
        <w:tc>
          <w:tcPr>
            <w:tcW w:w="3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运营半年，经学院认定</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10</w:t>
            </w:r>
          </w:p>
        </w:tc>
        <w:tc>
          <w:tcPr>
            <w:tcW w:w="18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sz w:val="21"/>
                <w:szCs w:val="21"/>
                <w:u w:val="none"/>
              </w:rPr>
            </w:pPr>
            <w:r>
              <w:rPr>
                <w:rFonts w:hint="eastAsia" w:ascii="仿宋" w:hAnsi="仿宋" w:eastAsia="仿宋" w:cs="仿宋"/>
                <w:sz w:val="21"/>
                <w:szCs w:val="21"/>
                <w:u w:val="none"/>
              </w:rPr>
              <w:t>顶岗实习、毕业综合实训</w:t>
            </w:r>
            <w:r>
              <w:rPr>
                <w:rFonts w:hint="eastAsia" w:ascii="仿宋" w:hAnsi="仿宋" w:eastAsia="仿宋"/>
                <w:sz w:val="21"/>
                <w:szCs w:val="21"/>
                <w:u w:val="none"/>
              </w:rPr>
              <w:t>、大学生创新基础、大学生创业</w:t>
            </w:r>
            <w:r>
              <w:rPr>
                <w:rFonts w:hint="eastAsia" w:ascii="仿宋" w:hAnsi="仿宋" w:eastAsia="仿宋"/>
                <w:sz w:val="21"/>
                <w:szCs w:val="21"/>
                <w:u w:val="none"/>
                <w:lang w:val="en-US" w:eastAsia="zh-CN"/>
              </w:rPr>
              <w:t>基础</w:t>
            </w:r>
          </w:p>
        </w:tc>
        <w:tc>
          <w:tcPr>
            <w:tcW w:w="6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lang w:eastAsia="zh-CN"/>
              </w:rPr>
            </w:pPr>
            <w:r>
              <w:rPr>
                <w:rFonts w:hint="eastAsia" w:ascii="仿宋" w:hAnsi="仿宋" w:eastAsia="仿宋"/>
                <w:sz w:val="21"/>
                <w:szCs w:val="21"/>
                <w:u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noWrap w:val="0"/>
            <w:vAlign w:val="center"/>
          </w:tcPr>
          <w:p>
            <w:pPr>
              <w:spacing w:line="300" w:lineRule="auto"/>
              <w:ind w:firstLine="0" w:firstLineChars="0"/>
              <w:jc w:val="center"/>
              <w:rPr>
                <w:rFonts w:hint="eastAsia" w:ascii="仿宋" w:hAnsi="仿宋" w:eastAsia="仿宋"/>
                <w:sz w:val="21"/>
                <w:szCs w:val="21"/>
                <w:u w:val="none"/>
              </w:rPr>
            </w:pPr>
          </w:p>
        </w:tc>
        <w:tc>
          <w:tcPr>
            <w:tcW w:w="1729" w:type="dxa"/>
            <w:vMerge w:val="continue"/>
            <w:noWrap w:val="0"/>
            <w:vAlign w:val="center"/>
          </w:tcPr>
          <w:p>
            <w:pPr>
              <w:spacing w:line="300" w:lineRule="auto"/>
              <w:ind w:firstLine="0" w:firstLineChars="0"/>
              <w:jc w:val="center"/>
              <w:rPr>
                <w:rFonts w:hint="eastAsia" w:ascii="仿宋" w:hAnsi="仿宋" w:eastAsia="仿宋"/>
                <w:sz w:val="21"/>
                <w:szCs w:val="21"/>
                <w:u w:val="none"/>
              </w:rPr>
            </w:pPr>
          </w:p>
        </w:tc>
        <w:tc>
          <w:tcPr>
            <w:tcW w:w="3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运营一年，经学院认定</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15</w:t>
            </w:r>
          </w:p>
        </w:tc>
        <w:tc>
          <w:tcPr>
            <w:tcW w:w="18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p>
        </w:tc>
        <w:tc>
          <w:tcPr>
            <w:tcW w:w="6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21"/>
                <w:szCs w:val="21"/>
                <w:u w:val="none"/>
              </w:rPr>
            </w:pPr>
            <w:r>
              <w:rPr>
                <w:rFonts w:hint="eastAsia" w:ascii="仿宋" w:hAnsi="仿宋" w:eastAsia="仿宋"/>
                <w:sz w:val="21"/>
                <w:szCs w:val="21"/>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6" w:type="dxa"/>
            <w:vMerge w:val="continue"/>
            <w:noWrap w:val="0"/>
            <w:vAlign w:val="center"/>
          </w:tcPr>
          <w:p>
            <w:pPr>
              <w:spacing w:line="300" w:lineRule="auto"/>
              <w:ind w:firstLine="0" w:firstLineChars="0"/>
              <w:jc w:val="center"/>
              <w:rPr>
                <w:rFonts w:hint="eastAsia" w:ascii="仿宋" w:hAnsi="仿宋" w:eastAsia="仿宋"/>
                <w:sz w:val="21"/>
                <w:szCs w:val="21"/>
                <w:u w:val="none"/>
              </w:rPr>
            </w:pPr>
          </w:p>
        </w:tc>
        <w:tc>
          <w:tcPr>
            <w:tcW w:w="1729" w:type="dxa"/>
            <w:vMerge w:val="continue"/>
            <w:noWrap w:val="0"/>
            <w:vAlign w:val="center"/>
          </w:tcPr>
          <w:p>
            <w:pPr>
              <w:spacing w:line="300" w:lineRule="auto"/>
              <w:ind w:firstLine="0" w:firstLineChars="0"/>
              <w:jc w:val="center"/>
              <w:rPr>
                <w:rFonts w:hint="eastAsia" w:ascii="仿宋" w:hAnsi="仿宋" w:eastAsia="仿宋"/>
                <w:sz w:val="21"/>
                <w:szCs w:val="21"/>
                <w:u w:val="none"/>
              </w:rPr>
            </w:pPr>
          </w:p>
        </w:tc>
        <w:tc>
          <w:tcPr>
            <w:tcW w:w="3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平稳运营，并获得一定的资金资助，经学院认定</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 w:hAnsi="仿宋" w:eastAsia="仿宋"/>
                <w:sz w:val="21"/>
                <w:szCs w:val="21"/>
                <w:u w:val="none"/>
              </w:rPr>
            </w:pPr>
            <w:r>
              <w:rPr>
                <w:rFonts w:hint="eastAsia" w:ascii="仿宋" w:hAnsi="仿宋" w:eastAsia="仿宋"/>
                <w:sz w:val="21"/>
                <w:szCs w:val="21"/>
                <w:u w:val="none"/>
              </w:rPr>
              <w:t>20</w:t>
            </w:r>
          </w:p>
        </w:tc>
        <w:tc>
          <w:tcPr>
            <w:tcW w:w="18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p>
        </w:tc>
        <w:tc>
          <w:tcPr>
            <w:tcW w:w="6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21"/>
                <w:szCs w:val="21"/>
                <w:u w:val="none"/>
              </w:rPr>
            </w:pPr>
            <w:r>
              <w:rPr>
                <w:rFonts w:hint="eastAsia" w:ascii="仿宋" w:hAnsi="仿宋" w:eastAsia="仿宋"/>
                <w:sz w:val="21"/>
                <w:szCs w:val="21"/>
                <w:u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2</w:t>
            </w:r>
          </w:p>
        </w:tc>
        <w:tc>
          <w:tcPr>
            <w:tcW w:w="17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其他创业活动</w:t>
            </w:r>
          </w:p>
        </w:tc>
        <w:tc>
          <w:tcPr>
            <w:tcW w:w="3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经学院认定</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r>
              <w:rPr>
                <w:rFonts w:hint="eastAsia" w:ascii="仿宋" w:hAnsi="仿宋" w:eastAsia="仿宋"/>
                <w:sz w:val="21"/>
                <w:szCs w:val="21"/>
                <w:u w:val="none"/>
              </w:rPr>
              <w:t>10</w:t>
            </w:r>
          </w:p>
        </w:tc>
        <w:tc>
          <w:tcPr>
            <w:tcW w:w="18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sz w:val="21"/>
                <w:szCs w:val="21"/>
                <w:u w:val="none"/>
              </w:rPr>
            </w:pPr>
          </w:p>
        </w:tc>
        <w:tc>
          <w:tcPr>
            <w:tcW w:w="6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sz w:val="21"/>
                <w:szCs w:val="21"/>
                <w:u w:val="none"/>
              </w:rPr>
            </w:pPr>
            <w:r>
              <w:rPr>
                <w:rFonts w:hint="eastAsia" w:ascii="仿宋" w:hAnsi="仿宋" w:eastAsia="仿宋"/>
                <w:sz w:val="21"/>
                <w:szCs w:val="21"/>
                <w:u w:val="none"/>
              </w:rPr>
              <w:t>85</w:t>
            </w:r>
          </w:p>
        </w:tc>
      </w:tr>
    </w:tbl>
    <w:p>
      <w:pPr>
        <w:pStyle w:val="17"/>
        <w:adjustRightInd w:val="0"/>
        <w:snapToGrid w:val="0"/>
        <w:ind w:firstLine="482"/>
        <w:rPr>
          <w:rFonts w:hint="eastAsia" w:ascii="楷体" w:hAnsi="楷体" w:cs="楷体"/>
          <w:sz w:val="24"/>
          <w:szCs w:val="24"/>
          <w:u w:val="none"/>
        </w:rPr>
      </w:pPr>
      <w:bookmarkStart w:id="229" w:name="_Toc27661"/>
      <w:r>
        <w:rPr>
          <w:rFonts w:hint="eastAsia" w:ascii="楷体" w:hAnsi="楷体" w:cs="楷体"/>
          <w:sz w:val="24"/>
          <w:szCs w:val="24"/>
          <w:u w:val="none"/>
        </w:rPr>
        <w:t>2.学分认定与转换的程序</w:t>
      </w:r>
      <w:bookmarkEnd w:id="229"/>
    </w:p>
    <w:p>
      <w:pPr>
        <w:adjustRightInd w:val="0"/>
        <w:snapToGrid w:val="0"/>
        <w:spacing w:line="360" w:lineRule="auto"/>
        <w:ind w:firstLine="480" w:firstLineChars="200"/>
        <w:rPr>
          <w:rFonts w:ascii="宋体" w:hAnsi="宋体"/>
          <w:bCs/>
          <w:sz w:val="24"/>
          <w:u w:val="none"/>
        </w:rPr>
      </w:pPr>
      <w:bookmarkStart w:id="230" w:name="_Toc4486"/>
      <w:bookmarkStart w:id="231" w:name="_Toc26529"/>
      <w:bookmarkStart w:id="232" w:name="_Toc27792"/>
      <w:bookmarkStart w:id="233" w:name="_Toc14260"/>
      <w:bookmarkStart w:id="234" w:name="_Toc9375"/>
      <w:r>
        <w:rPr>
          <w:rFonts w:hint="eastAsia" w:ascii="宋体" w:hAnsi="宋体"/>
          <w:bCs/>
          <w:sz w:val="24"/>
          <w:u w:val="none"/>
        </w:rPr>
        <w:t>申请学分认定与转换的流程：</w:t>
      </w:r>
    </w:p>
    <w:p>
      <w:pPr>
        <w:adjustRightInd w:val="0"/>
        <w:snapToGrid w:val="0"/>
        <w:spacing w:line="360" w:lineRule="auto"/>
        <w:ind w:firstLine="480" w:firstLineChars="200"/>
        <w:rPr>
          <w:rFonts w:ascii="宋体" w:hAnsi="宋体"/>
          <w:bCs/>
          <w:sz w:val="24"/>
          <w:u w:val="none"/>
        </w:rPr>
      </w:pPr>
      <w:r>
        <w:rPr>
          <w:rFonts w:hint="eastAsia" w:ascii="宋体" w:hAnsi="宋体"/>
          <w:bCs/>
          <w:sz w:val="24"/>
          <w:u w:val="none"/>
        </w:rPr>
        <w:t>由学生本人提出申请，并附相关证明材料，提交至所在系。学生所在系初步审核，</w:t>
      </w:r>
      <w:r>
        <w:rPr>
          <w:rFonts w:hint="eastAsia" w:ascii="宋体" w:hAnsi="宋体"/>
          <w:bCs/>
          <w:sz w:val="24"/>
          <w:u w:val="none"/>
          <w:lang w:val="en-US" w:eastAsia="zh-CN"/>
        </w:rPr>
        <w:t>教务处复核并</w:t>
      </w:r>
      <w:r>
        <w:rPr>
          <w:rFonts w:hint="eastAsia" w:ascii="宋体" w:hAnsi="宋体"/>
          <w:bCs/>
          <w:sz w:val="24"/>
          <w:u w:val="none"/>
        </w:rPr>
        <w:t>汇总填写《安徽审计职业学院学分认定与转换备案表》，报分管教学副院长审批，教务处备案执行。各系初步审核时，应审核证书原件，收齐复印件；先后获得同一系列不同等级的证书，按较高等级证书获得相应学分，不重复计算。</w:t>
      </w:r>
    </w:p>
    <w:p>
      <w:pPr>
        <w:spacing w:line="360" w:lineRule="auto"/>
        <w:ind w:firstLine="480" w:firstLineChars="200"/>
        <w:rPr>
          <w:rFonts w:ascii="宋体" w:hAnsi="宋体"/>
          <w:sz w:val="24"/>
          <w:u w:val="none"/>
        </w:rPr>
      </w:pPr>
      <w:r>
        <w:rPr>
          <w:rFonts w:hint="eastAsia" w:ascii="宋体" w:hAnsi="宋体"/>
          <w:bCs/>
          <w:sz w:val="24"/>
          <w:u w:val="none"/>
        </w:rPr>
        <w:t>如果在课程考试前未取得相关证书，则必须参加课程考试，事后取得证书也不再改动该课程成绩，但如果课程考试不合格，考试后通过相关资格证书的考试，该证书可以作为补考合格（免予补考）的依据。</w:t>
      </w:r>
    </w:p>
    <w:p>
      <w:pPr>
        <w:pStyle w:val="3"/>
        <w:ind w:firstLine="562"/>
        <w:rPr>
          <w:rFonts w:hint="eastAsia"/>
          <w:u w:val="none"/>
        </w:rPr>
      </w:pPr>
      <w:r>
        <w:rPr>
          <w:rFonts w:hint="eastAsia"/>
          <w:u w:val="none"/>
        </w:rPr>
        <w:t>十、毕业要求</w:t>
      </w:r>
      <w:bookmarkEnd w:id="230"/>
      <w:bookmarkEnd w:id="231"/>
      <w:bookmarkEnd w:id="232"/>
      <w:bookmarkEnd w:id="233"/>
      <w:bookmarkEnd w:id="234"/>
    </w:p>
    <w:p>
      <w:pPr>
        <w:adjustRightInd w:val="0"/>
        <w:snapToGrid w:val="0"/>
        <w:spacing w:line="360" w:lineRule="auto"/>
        <w:ind w:firstLine="480" w:firstLineChars="200"/>
        <w:rPr>
          <w:rFonts w:hint="default" w:ascii="宋体" w:hAnsi="宋体" w:eastAsia="宋体" w:cs="Tahoma"/>
          <w:kern w:val="0"/>
          <w:sz w:val="24"/>
          <w:u w:val="none"/>
          <w:lang w:val="en-US" w:eastAsia="zh-CN"/>
        </w:rPr>
      </w:pPr>
      <w:r>
        <w:rPr>
          <w:rFonts w:hint="eastAsia" w:ascii="宋体" w:hAnsi="宋体" w:eastAsia="宋体"/>
          <w:szCs w:val="24"/>
          <w:u w:val="none"/>
        </w:rPr>
        <w:t>毕业要求是学生通过规定年限的学习，思想品德经鉴定符合要求，须修满本专业人才培养方案所规定全部课程的3106学时，取得规定的179学分，每位学生每学期须修满专业技能竞赛与实践学分，若学生被指导教师选中却无故推辞参加技能大赛，则可被认定为该门学分没有修满。学生毕业时应完成规定的教学活动，修满规定的学分，达到规定的</w:t>
      </w:r>
      <w:r>
        <w:rPr>
          <w:rFonts w:hint="eastAsia" w:ascii="宋体" w:hAnsi="宋体" w:eastAsia="宋体"/>
          <w:szCs w:val="24"/>
          <w:u w:val="none"/>
          <w:lang w:val="en-US" w:eastAsia="zh-CN"/>
        </w:rPr>
        <w:t>知识</w:t>
      </w:r>
      <w:r>
        <w:rPr>
          <w:rFonts w:hint="eastAsia" w:ascii="宋体" w:hAnsi="宋体" w:eastAsia="宋体"/>
          <w:szCs w:val="24"/>
          <w:u w:val="none"/>
        </w:rPr>
        <w:t>、</w:t>
      </w:r>
      <w:r>
        <w:rPr>
          <w:rFonts w:hint="eastAsia" w:ascii="宋体" w:hAnsi="宋体" w:eastAsia="宋体"/>
          <w:szCs w:val="24"/>
          <w:u w:val="none"/>
          <w:lang w:val="en-US" w:eastAsia="zh-CN"/>
        </w:rPr>
        <w:t>能力</w:t>
      </w:r>
      <w:r>
        <w:rPr>
          <w:rFonts w:hint="eastAsia" w:ascii="宋体" w:hAnsi="宋体" w:eastAsia="宋体"/>
          <w:szCs w:val="24"/>
          <w:u w:val="none"/>
        </w:rPr>
        <w:t>和</w:t>
      </w:r>
      <w:r>
        <w:rPr>
          <w:rFonts w:hint="eastAsia" w:ascii="宋体" w:hAnsi="宋体" w:eastAsia="宋体"/>
          <w:szCs w:val="24"/>
          <w:u w:val="none"/>
          <w:lang w:val="en-US" w:eastAsia="zh-CN"/>
        </w:rPr>
        <w:t>素质</w:t>
      </w:r>
      <w:r>
        <w:rPr>
          <w:rFonts w:hint="eastAsia" w:ascii="宋体" w:hAnsi="宋体" w:eastAsia="宋体"/>
          <w:szCs w:val="24"/>
          <w:u w:val="none"/>
        </w:rPr>
        <w:t>等方面的要求，准予毕业。</w:t>
      </w:r>
      <w:r>
        <w:rPr>
          <w:rFonts w:hint="eastAsia" w:ascii="宋体" w:hAnsi="宋体"/>
          <w:bCs/>
          <w:sz w:val="24"/>
          <w:u w:val="none"/>
          <w:lang w:val="en-US" w:eastAsia="zh-CN"/>
        </w:rPr>
        <w:t>要求学生积极参加体育俱乐部和文学艺术俱乐部，取得某一俱乐部初级会员或国家级相应等级资格考试证书等，可以计2学分。</w:t>
      </w:r>
    </w:p>
    <w:p>
      <w:pPr>
        <w:pStyle w:val="7"/>
        <w:spacing w:before="0" w:beforeAutospacing="0" w:after="0" w:afterAutospacing="0"/>
        <w:rPr>
          <w:rFonts w:hint="eastAsia" w:ascii="宋体" w:hAnsi="宋体" w:eastAsia="宋体"/>
          <w:szCs w:val="24"/>
          <w:u w:val="none"/>
        </w:rPr>
      </w:pPr>
    </w:p>
    <w:p>
      <w:pPr>
        <w:ind w:firstLine="0" w:firstLineChars="0"/>
        <w:rPr>
          <w:b/>
          <w:sz w:val="21"/>
          <w:szCs w:val="21"/>
          <w:u w:val="none"/>
        </w:rPr>
      </w:pPr>
    </w:p>
    <w:p>
      <w:pPr>
        <w:ind w:firstLine="0" w:firstLineChars="0"/>
        <w:rPr>
          <w:b/>
          <w:sz w:val="21"/>
          <w:szCs w:val="21"/>
          <w:u w:val="none"/>
        </w:rPr>
      </w:pPr>
    </w:p>
    <w:p>
      <w:pPr>
        <w:ind w:firstLine="0" w:firstLineChars="0"/>
        <w:rPr>
          <w:b/>
          <w:sz w:val="21"/>
          <w:szCs w:val="21"/>
          <w:u w:val="none"/>
        </w:rPr>
      </w:pPr>
    </w:p>
    <w:p>
      <w:pPr>
        <w:ind w:firstLine="0" w:firstLineChars="0"/>
        <w:rPr>
          <w:b/>
          <w:sz w:val="21"/>
          <w:szCs w:val="21"/>
          <w:u w:val="none"/>
        </w:rPr>
      </w:pPr>
    </w:p>
    <w:p>
      <w:pPr>
        <w:ind w:firstLine="0" w:firstLineChars="0"/>
        <w:rPr>
          <w:b/>
          <w:sz w:val="21"/>
          <w:szCs w:val="21"/>
          <w:u w:val="none"/>
        </w:rPr>
      </w:pPr>
    </w:p>
    <w:p>
      <w:pPr>
        <w:ind w:firstLine="0" w:firstLineChars="0"/>
        <w:outlineLvl w:val="0"/>
        <w:rPr>
          <w:rFonts w:hint="eastAsia" w:ascii="黑体" w:hAnsi="黑体" w:eastAsia="黑体" w:cs="黑体"/>
          <w:b/>
          <w:bCs/>
          <w:sz w:val="28"/>
          <w:szCs w:val="28"/>
          <w:u w:val="none"/>
        </w:rPr>
      </w:pPr>
      <w:bookmarkStart w:id="235" w:name="_Toc19487"/>
      <w:bookmarkStart w:id="236" w:name="_Toc2819"/>
      <w:bookmarkStart w:id="237" w:name="_Toc17956"/>
      <w:bookmarkStart w:id="238" w:name="_Toc6399"/>
      <w:bookmarkStart w:id="239" w:name="_Toc30393"/>
      <w:bookmarkStart w:id="240" w:name="_Toc22999"/>
      <w:r>
        <w:rPr>
          <w:rFonts w:hint="eastAsia" w:ascii="黑体" w:hAnsi="黑体" w:eastAsia="黑体" w:cs="黑体"/>
          <w:b/>
          <w:bCs/>
          <w:sz w:val="28"/>
          <w:szCs w:val="28"/>
          <w:u w:val="none"/>
        </w:rPr>
        <w:t>十一、附录</w:t>
      </w:r>
      <w:bookmarkEnd w:id="235"/>
      <w:bookmarkEnd w:id="236"/>
      <w:bookmarkEnd w:id="237"/>
      <w:bookmarkEnd w:id="238"/>
      <w:bookmarkEnd w:id="239"/>
      <w:bookmarkEnd w:id="240"/>
    </w:p>
    <w:p>
      <w:pPr>
        <w:numPr>
          <w:ilvl w:val="0"/>
          <w:numId w:val="3"/>
        </w:numPr>
        <w:overflowPunct w:val="0"/>
        <w:adjustRightInd w:val="0"/>
        <w:snapToGrid w:val="0"/>
        <w:spacing w:line="420" w:lineRule="exact"/>
        <w:ind w:firstLine="482"/>
        <w:outlineLvl w:val="1"/>
        <w:rPr>
          <w:rFonts w:hint="eastAsia" w:ascii="黑体" w:hAnsi="黑体" w:eastAsia="黑体"/>
          <w:b/>
          <w:szCs w:val="24"/>
          <w:u w:val="none"/>
        </w:rPr>
      </w:pPr>
      <w:bookmarkStart w:id="241" w:name="_Toc3558"/>
      <w:bookmarkStart w:id="242" w:name="_Toc30809"/>
      <w:bookmarkStart w:id="243" w:name="_Toc12268"/>
      <w:bookmarkStart w:id="244" w:name="_Toc17239"/>
      <w:bookmarkStart w:id="245" w:name="_Toc9030"/>
      <w:bookmarkStart w:id="246" w:name="_Toc30777"/>
      <w:r>
        <w:rPr>
          <w:rFonts w:hint="eastAsia" w:ascii="黑体" w:hAnsi="黑体" w:eastAsia="黑体"/>
          <w:b/>
          <w:szCs w:val="24"/>
          <w:u w:val="none"/>
        </w:rPr>
        <w:t>教育活动设计</w:t>
      </w:r>
      <w:bookmarkEnd w:id="241"/>
      <w:bookmarkEnd w:id="242"/>
      <w:bookmarkEnd w:id="243"/>
      <w:bookmarkEnd w:id="244"/>
      <w:bookmarkEnd w:id="245"/>
      <w:bookmarkEnd w:id="246"/>
    </w:p>
    <w:p>
      <w:pPr>
        <w:ind w:firstLine="482"/>
        <w:jc w:val="center"/>
        <w:rPr>
          <w:rFonts w:hint="eastAsia" w:ascii="黑体" w:hAnsi="黑体" w:eastAsia="黑体" w:cs="黑体"/>
          <w:b/>
          <w:bCs/>
          <w:u w:val="none"/>
        </w:rPr>
      </w:pPr>
      <w:r>
        <w:rPr>
          <w:rFonts w:hint="eastAsia" w:ascii="黑体" w:hAnsi="黑体" w:eastAsia="黑体" w:cs="黑体"/>
          <w:b/>
          <w:bCs/>
          <w:u w:val="none"/>
        </w:rPr>
        <w:t>表11-1 建筑经济信息化管理专业教育活动设计</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231"/>
        <w:gridCol w:w="1485"/>
        <w:gridCol w:w="1740"/>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noWrap w:val="0"/>
            <w:vAlign w:val="center"/>
          </w:tcPr>
          <w:p>
            <w:pPr>
              <w:spacing w:line="240" w:lineRule="auto"/>
              <w:ind w:firstLine="0" w:firstLineChars="0"/>
              <w:jc w:val="center"/>
              <w:rPr>
                <w:rFonts w:hint="eastAsia" w:ascii="黑体" w:hAnsi="黑体" w:eastAsia="黑体" w:cs="黑体"/>
                <w:b/>
                <w:bCs/>
                <w:sz w:val="21"/>
                <w:u w:val="none"/>
              </w:rPr>
            </w:pPr>
            <w:bookmarkStart w:id="247" w:name="_Toc17487"/>
            <w:r>
              <w:rPr>
                <w:rFonts w:hint="eastAsia" w:ascii="黑体" w:hAnsi="黑体" w:eastAsia="黑体" w:cs="黑体"/>
                <w:b/>
                <w:bCs/>
                <w:kern w:val="0"/>
                <w:sz w:val="21"/>
                <w:szCs w:val="21"/>
                <w:u w:val="none"/>
              </w:rPr>
              <w:t>活动时间</w:t>
            </w:r>
          </w:p>
        </w:tc>
        <w:tc>
          <w:tcPr>
            <w:tcW w:w="2231" w:type="dxa"/>
            <w:noWrap w:val="0"/>
            <w:vAlign w:val="center"/>
          </w:tcPr>
          <w:p>
            <w:pPr>
              <w:spacing w:line="240" w:lineRule="auto"/>
              <w:ind w:firstLine="0" w:firstLineChars="0"/>
              <w:jc w:val="center"/>
              <w:rPr>
                <w:rFonts w:hint="eastAsia" w:ascii="黑体" w:hAnsi="黑体" w:eastAsia="黑体" w:cs="黑体"/>
                <w:b/>
                <w:bCs/>
                <w:sz w:val="21"/>
                <w:u w:val="none"/>
              </w:rPr>
            </w:pPr>
            <w:r>
              <w:rPr>
                <w:rFonts w:hint="eastAsia" w:ascii="黑体" w:hAnsi="黑体" w:eastAsia="黑体" w:cs="黑体"/>
                <w:b/>
                <w:bCs/>
                <w:kern w:val="0"/>
                <w:sz w:val="21"/>
                <w:szCs w:val="21"/>
                <w:u w:val="none"/>
              </w:rPr>
              <w:t>活动主题</w:t>
            </w:r>
          </w:p>
        </w:tc>
        <w:tc>
          <w:tcPr>
            <w:tcW w:w="1485" w:type="dxa"/>
            <w:noWrap w:val="0"/>
            <w:vAlign w:val="center"/>
          </w:tcPr>
          <w:p>
            <w:pPr>
              <w:spacing w:line="240" w:lineRule="auto"/>
              <w:ind w:firstLine="0" w:firstLineChars="0"/>
              <w:jc w:val="center"/>
              <w:rPr>
                <w:rFonts w:hint="eastAsia" w:ascii="黑体" w:hAnsi="黑体" w:eastAsia="黑体" w:cs="黑体"/>
                <w:b/>
                <w:bCs/>
                <w:sz w:val="21"/>
                <w:u w:val="none"/>
              </w:rPr>
            </w:pPr>
            <w:r>
              <w:rPr>
                <w:rFonts w:hint="eastAsia" w:ascii="黑体" w:hAnsi="黑体" w:eastAsia="黑体" w:cs="黑体"/>
                <w:b/>
                <w:bCs/>
                <w:kern w:val="0"/>
                <w:sz w:val="21"/>
                <w:szCs w:val="21"/>
                <w:u w:val="none"/>
              </w:rPr>
              <w:t>活动形式</w:t>
            </w:r>
          </w:p>
        </w:tc>
        <w:tc>
          <w:tcPr>
            <w:tcW w:w="1740" w:type="dxa"/>
            <w:noWrap w:val="0"/>
            <w:vAlign w:val="center"/>
          </w:tcPr>
          <w:p>
            <w:pPr>
              <w:spacing w:line="240" w:lineRule="auto"/>
              <w:ind w:firstLine="0" w:firstLineChars="0"/>
              <w:jc w:val="center"/>
              <w:rPr>
                <w:rFonts w:hint="eastAsia" w:ascii="黑体" w:hAnsi="黑体" w:eastAsia="黑体" w:cs="黑体"/>
                <w:b/>
                <w:bCs/>
                <w:sz w:val="21"/>
                <w:u w:val="none"/>
              </w:rPr>
            </w:pPr>
            <w:r>
              <w:rPr>
                <w:rFonts w:hint="eastAsia" w:ascii="黑体" w:hAnsi="黑体" w:eastAsia="黑体" w:cs="黑体"/>
                <w:b/>
                <w:bCs/>
                <w:sz w:val="21"/>
                <w:u w:val="none"/>
              </w:rPr>
              <w:t>评价方式</w:t>
            </w:r>
          </w:p>
        </w:tc>
        <w:tc>
          <w:tcPr>
            <w:tcW w:w="2536" w:type="dxa"/>
            <w:noWrap w:val="0"/>
            <w:vAlign w:val="center"/>
          </w:tcPr>
          <w:p>
            <w:pPr>
              <w:spacing w:line="240" w:lineRule="auto"/>
              <w:ind w:firstLine="0" w:firstLineChars="0"/>
              <w:jc w:val="center"/>
              <w:rPr>
                <w:rFonts w:hint="eastAsia" w:ascii="黑体" w:hAnsi="黑体" w:eastAsia="黑体" w:cs="黑体"/>
                <w:b/>
                <w:bCs/>
                <w:sz w:val="21"/>
                <w:u w:val="none"/>
              </w:rPr>
            </w:pPr>
            <w:r>
              <w:rPr>
                <w:rFonts w:hint="eastAsia" w:ascii="黑体" w:hAnsi="黑体" w:eastAsia="黑体" w:cs="黑体"/>
                <w:b/>
                <w:bCs/>
                <w:sz w:val="21"/>
                <w:u w:val="none"/>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restart"/>
            <w:noWrap w:val="0"/>
            <w:vAlign w:val="center"/>
          </w:tcPr>
          <w:p>
            <w:pPr>
              <w:spacing w:line="300" w:lineRule="auto"/>
              <w:ind w:firstLine="0" w:firstLineChars="0"/>
              <w:jc w:val="center"/>
              <w:rPr>
                <w:rFonts w:ascii="仿宋" w:hAnsi="仿宋" w:eastAsia="仿宋" w:cs="仿宋"/>
                <w:bCs/>
                <w:sz w:val="21"/>
                <w:u w:val="none"/>
              </w:rPr>
            </w:pPr>
            <w:r>
              <w:rPr>
                <w:rFonts w:hint="eastAsia" w:ascii="仿宋" w:hAnsi="仿宋" w:eastAsia="仿宋" w:cs="仿宋"/>
                <w:bCs/>
                <w:sz w:val="21"/>
                <w:u w:val="none"/>
              </w:rPr>
              <w:t>第一</w:t>
            </w:r>
            <w:r>
              <w:rPr>
                <w:rFonts w:hint="eastAsia" w:ascii="仿宋" w:hAnsi="仿宋" w:eastAsia="仿宋" w:cs="仿宋"/>
                <w:kern w:val="0"/>
                <w:sz w:val="21"/>
                <w:szCs w:val="21"/>
                <w:u w:val="none"/>
              </w:rPr>
              <w:t>学期</w:t>
            </w:r>
          </w:p>
        </w:tc>
        <w:tc>
          <w:tcPr>
            <w:tcW w:w="2231" w:type="dxa"/>
            <w:noWrap w:val="0"/>
            <w:vAlign w:val="center"/>
          </w:tcPr>
          <w:p>
            <w:pPr>
              <w:spacing w:line="300" w:lineRule="auto"/>
              <w:ind w:firstLine="0" w:firstLineChars="0"/>
              <w:jc w:val="center"/>
              <w:rPr>
                <w:rFonts w:ascii="仿宋" w:hAnsi="仿宋" w:eastAsia="仿宋" w:cs="仿宋"/>
                <w:bCs/>
                <w:color w:val="FF0000"/>
                <w:sz w:val="21"/>
                <w:szCs w:val="21"/>
                <w:u w:val="none"/>
              </w:rPr>
            </w:pPr>
            <w:r>
              <w:rPr>
                <w:rFonts w:hint="eastAsia" w:ascii="仿宋" w:hAnsi="仿宋" w:eastAsia="仿宋" w:cs="仿宋"/>
                <w:bCs/>
                <w:color w:val="auto"/>
                <w:sz w:val="21"/>
                <w:szCs w:val="21"/>
                <w:u w:val="none"/>
              </w:rPr>
              <w:t>专业认识</w:t>
            </w:r>
          </w:p>
        </w:tc>
        <w:tc>
          <w:tcPr>
            <w:tcW w:w="1485"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restart"/>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辅导员反映意见</w:t>
            </w:r>
          </w:p>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学生意见调查</w:t>
            </w:r>
          </w:p>
        </w:tc>
        <w:tc>
          <w:tcPr>
            <w:tcW w:w="2536"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工程管理系、学生处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党史国史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大学生国家安全教育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lang w:val="en-US" w:eastAsia="zh-CN"/>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系、保卫</w:t>
            </w:r>
            <w:r>
              <w:rPr>
                <w:rFonts w:hint="eastAsia" w:ascii="仿宋" w:hAnsi="仿宋" w:eastAsia="仿宋" w:cs="仿宋"/>
                <w:bCs/>
                <w:sz w:val="21"/>
                <w:szCs w:val="21"/>
                <w:u w:val="none"/>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restart"/>
            <w:noWrap w:val="0"/>
            <w:vAlign w:val="center"/>
          </w:tcPr>
          <w:p>
            <w:pPr>
              <w:spacing w:line="300" w:lineRule="auto"/>
              <w:ind w:firstLine="0" w:firstLineChars="0"/>
              <w:jc w:val="center"/>
              <w:rPr>
                <w:rFonts w:ascii="仿宋" w:hAnsi="仿宋" w:eastAsia="仿宋" w:cs="仿宋"/>
                <w:b/>
                <w:bCs/>
                <w:sz w:val="21"/>
                <w:u w:val="none"/>
              </w:rPr>
            </w:pPr>
            <w:r>
              <w:rPr>
                <w:rFonts w:hint="eastAsia" w:ascii="仿宋" w:hAnsi="仿宋" w:eastAsia="仿宋" w:cs="仿宋"/>
                <w:bCs/>
                <w:sz w:val="21"/>
                <w:u w:val="none"/>
              </w:rPr>
              <w:t>第二</w:t>
            </w:r>
            <w:r>
              <w:rPr>
                <w:rFonts w:hint="eastAsia" w:ascii="仿宋" w:hAnsi="仿宋" w:eastAsia="仿宋" w:cs="仿宋"/>
                <w:kern w:val="0"/>
                <w:sz w:val="21"/>
                <w:szCs w:val="21"/>
                <w:u w:val="none"/>
              </w:rPr>
              <w:t>学期</w:t>
            </w:r>
          </w:p>
        </w:tc>
        <w:tc>
          <w:tcPr>
            <w:tcW w:w="2231"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专业技能考证</w:t>
            </w:r>
          </w:p>
        </w:tc>
        <w:tc>
          <w:tcPr>
            <w:tcW w:w="1485"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restart"/>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专家反映意见</w:t>
            </w:r>
          </w:p>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学生意见调查</w:t>
            </w:r>
          </w:p>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辅导员反映意见</w:t>
            </w:r>
          </w:p>
        </w:tc>
        <w:tc>
          <w:tcPr>
            <w:tcW w:w="2536"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绿色环保教育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大学生国家安全教育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lang w:val="en-US" w:eastAsia="zh-CN"/>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系、保卫</w:t>
            </w:r>
            <w:r>
              <w:rPr>
                <w:rFonts w:hint="eastAsia" w:ascii="仿宋" w:hAnsi="仿宋" w:eastAsia="仿宋" w:cs="仿宋"/>
                <w:bCs/>
                <w:sz w:val="21"/>
                <w:szCs w:val="21"/>
                <w:u w:val="none"/>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restart"/>
            <w:noWrap w:val="0"/>
            <w:vAlign w:val="center"/>
          </w:tcPr>
          <w:p>
            <w:pPr>
              <w:spacing w:line="300" w:lineRule="auto"/>
              <w:ind w:firstLine="0" w:firstLineChars="0"/>
              <w:jc w:val="center"/>
              <w:rPr>
                <w:rFonts w:ascii="仿宋" w:hAnsi="仿宋" w:eastAsia="仿宋" w:cs="仿宋"/>
                <w:b/>
                <w:bCs/>
                <w:sz w:val="21"/>
                <w:u w:val="none"/>
              </w:rPr>
            </w:pPr>
            <w:r>
              <w:rPr>
                <w:rFonts w:hint="eastAsia" w:ascii="仿宋" w:hAnsi="仿宋" w:eastAsia="仿宋" w:cs="仿宋"/>
                <w:bCs/>
                <w:sz w:val="21"/>
                <w:u w:val="none"/>
              </w:rPr>
              <w:t>第三</w:t>
            </w:r>
            <w:r>
              <w:rPr>
                <w:rFonts w:hint="eastAsia" w:ascii="仿宋" w:hAnsi="仿宋" w:eastAsia="仿宋" w:cs="仿宋"/>
                <w:kern w:val="0"/>
                <w:sz w:val="21"/>
                <w:szCs w:val="21"/>
                <w:u w:val="none"/>
              </w:rPr>
              <w:t>学期</w:t>
            </w:r>
          </w:p>
        </w:tc>
        <w:tc>
          <w:tcPr>
            <w:tcW w:w="2231"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color w:val="auto"/>
                <w:sz w:val="21"/>
                <w:szCs w:val="21"/>
                <w:u w:val="none"/>
                <w:lang w:eastAsia="zh-CN"/>
              </w:rPr>
              <w:t>工程</w:t>
            </w:r>
            <w:r>
              <w:rPr>
                <w:rFonts w:hint="eastAsia" w:ascii="仿宋" w:hAnsi="仿宋" w:eastAsia="仿宋" w:cs="仿宋"/>
                <w:bCs/>
                <w:color w:val="auto"/>
                <w:sz w:val="21"/>
                <w:szCs w:val="21"/>
                <w:u w:val="none"/>
              </w:rPr>
              <w:t>热点</w:t>
            </w:r>
            <w:r>
              <w:rPr>
                <w:rFonts w:hint="eastAsia" w:ascii="仿宋" w:hAnsi="仿宋" w:eastAsia="仿宋" w:cs="仿宋"/>
                <w:bCs/>
                <w:sz w:val="21"/>
                <w:szCs w:val="21"/>
                <w:u w:val="none"/>
              </w:rPr>
              <w:t>问题</w:t>
            </w:r>
          </w:p>
        </w:tc>
        <w:tc>
          <w:tcPr>
            <w:tcW w:w="1485"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专家讲座</w:t>
            </w:r>
          </w:p>
        </w:tc>
        <w:tc>
          <w:tcPr>
            <w:tcW w:w="1740" w:type="dxa"/>
            <w:vMerge w:val="restart"/>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专家反映意见</w:t>
            </w:r>
          </w:p>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学生意见调查</w:t>
            </w:r>
          </w:p>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辅导员反映意见</w:t>
            </w:r>
          </w:p>
        </w:tc>
        <w:tc>
          <w:tcPr>
            <w:tcW w:w="2536"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国学讲座</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专家讲座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大学生国家安全教育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lang w:val="en-US" w:eastAsia="zh-CN"/>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系、保卫</w:t>
            </w:r>
            <w:r>
              <w:rPr>
                <w:rFonts w:hint="eastAsia" w:ascii="仿宋" w:hAnsi="仿宋" w:eastAsia="仿宋" w:cs="仿宋"/>
                <w:bCs/>
                <w:sz w:val="21"/>
                <w:szCs w:val="21"/>
                <w:u w:val="none"/>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restart"/>
            <w:noWrap w:val="0"/>
            <w:vAlign w:val="center"/>
          </w:tcPr>
          <w:p>
            <w:pPr>
              <w:spacing w:line="300" w:lineRule="auto"/>
              <w:ind w:firstLine="0" w:firstLineChars="0"/>
              <w:jc w:val="center"/>
              <w:rPr>
                <w:rFonts w:ascii="仿宋" w:hAnsi="仿宋" w:eastAsia="仿宋" w:cs="仿宋"/>
                <w:b/>
                <w:bCs/>
                <w:sz w:val="21"/>
                <w:u w:val="none"/>
              </w:rPr>
            </w:pPr>
            <w:r>
              <w:rPr>
                <w:rFonts w:hint="eastAsia" w:ascii="仿宋" w:hAnsi="仿宋" w:eastAsia="仿宋" w:cs="仿宋"/>
                <w:bCs/>
                <w:sz w:val="21"/>
                <w:u w:val="none"/>
              </w:rPr>
              <w:t>第四</w:t>
            </w:r>
            <w:r>
              <w:rPr>
                <w:rFonts w:hint="eastAsia" w:ascii="仿宋" w:hAnsi="仿宋" w:eastAsia="仿宋" w:cs="仿宋"/>
                <w:kern w:val="0"/>
                <w:sz w:val="21"/>
                <w:szCs w:val="21"/>
                <w:u w:val="none"/>
              </w:rPr>
              <w:t>学期</w:t>
            </w:r>
          </w:p>
        </w:tc>
        <w:tc>
          <w:tcPr>
            <w:tcW w:w="2231"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大学生职业生涯设计</w:t>
            </w:r>
          </w:p>
        </w:tc>
        <w:tc>
          <w:tcPr>
            <w:tcW w:w="1485"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评比表彰</w:t>
            </w:r>
          </w:p>
        </w:tc>
        <w:tc>
          <w:tcPr>
            <w:tcW w:w="1740"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评出一二三等奖</w:t>
            </w:r>
          </w:p>
        </w:tc>
        <w:tc>
          <w:tcPr>
            <w:tcW w:w="2536"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职业技能大赛</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评比表彰</w:t>
            </w:r>
          </w:p>
        </w:tc>
        <w:tc>
          <w:tcPr>
            <w:tcW w:w="1740"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评出一二三等奖</w:t>
            </w: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美学讲座</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restart"/>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学生意见调查</w:t>
            </w:r>
          </w:p>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辅导员反映意见</w:t>
            </w: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大学生国家安全教育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lang w:val="en-US" w:eastAsia="zh-CN"/>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系、保卫</w:t>
            </w:r>
            <w:r>
              <w:rPr>
                <w:rFonts w:hint="eastAsia" w:ascii="仿宋" w:hAnsi="仿宋" w:eastAsia="仿宋" w:cs="仿宋"/>
                <w:bCs/>
                <w:sz w:val="21"/>
                <w:szCs w:val="21"/>
                <w:u w:val="none"/>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restart"/>
            <w:noWrap w:val="0"/>
            <w:vAlign w:val="center"/>
          </w:tcPr>
          <w:p>
            <w:pPr>
              <w:spacing w:line="300" w:lineRule="auto"/>
              <w:ind w:firstLine="0" w:firstLineChars="0"/>
              <w:jc w:val="center"/>
              <w:rPr>
                <w:rFonts w:ascii="仿宋" w:hAnsi="仿宋" w:eastAsia="仿宋" w:cs="仿宋"/>
                <w:b/>
                <w:bCs/>
                <w:sz w:val="21"/>
                <w:u w:val="none"/>
              </w:rPr>
            </w:pPr>
            <w:r>
              <w:rPr>
                <w:rFonts w:hint="eastAsia" w:ascii="仿宋" w:hAnsi="仿宋" w:eastAsia="仿宋" w:cs="仿宋"/>
                <w:bCs/>
                <w:sz w:val="21"/>
                <w:u w:val="none"/>
              </w:rPr>
              <w:t>第五</w:t>
            </w:r>
            <w:r>
              <w:rPr>
                <w:rFonts w:hint="eastAsia" w:ascii="仿宋" w:hAnsi="仿宋" w:eastAsia="仿宋" w:cs="仿宋"/>
                <w:kern w:val="0"/>
                <w:sz w:val="21"/>
                <w:szCs w:val="21"/>
                <w:u w:val="none"/>
              </w:rPr>
              <w:t>学期</w:t>
            </w:r>
          </w:p>
        </w:tc>
        <w:tc>
          <w:tcPr>
            <w:tcW w:w="2231"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就业教育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restart"/>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学生意见调查</w:t>
            </w:r>
          </w:p>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辅导员反映意见</w:t>
            </w:r>
          </w:p>
        </w:tc>
        <w:tc>
          <w:tcPr>
            <w:tcW w:w="2536"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中华优秀传统文化</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大学生国家安全教育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lang w:val="en-US" w:eastAsia="zh-CN"/>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系、保卫</w:t>
            </w:r>
            <w:r>
              <w:rPr>
                <w:rFonts w:hint="eastAsia" w:ascii="仿宋" w:hAnsi="仿宋" w:eastAsia="仿宋" w:cs="仿宋"/>
                <w:bCs/>
                <w:sz w:val="21"/>
                <w:szCs w:val="21"/>
                <w:u w:val="none"/>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restart"/>
            <w:noWrap w:val="0"/>
            <w:vAlign w:val="center"/>
          </w:tcPr>
          <w:p>
            <w:pPr>
              <w:spacing w:line="300" w:lineRule="auto"/>
              <w:ind w:firstLine="0" w:firstLineChars="0"/>
              <w:jc w:val="center"/>
              <w:rPr>
                <w:rFonts w:ascii="仿宋" w:hAnsi="仿宋" w:eastAsia="仿宋" w:cs="仿宋"/>
                <w:b/>
                <w:bCs/>
                <w:sz w:val="21"/>
                <w:u w:val="none"/>
              </w:rPr>
            </w:pPr>
            <w:r>
              <w:rPr>
                <w:rFonts w:hint="eastAsia" w:ascii="仿宋" w:hAnsi="仿宋" w:eastAsia="仿宋" w:cs="仿宋"/>
                <w:bCs/>
                <w:sz w:val="21"/>
                <w:u w:val="none"/>
              </w:rPr>
              <w:t>第六</w:t>
            </w:r>
            <w:r>
              <w:rPr>
                <w:rFonts w:hint="eastAsia" w:ascii="仿宋" w:hAnsi="仿宋" w:eastAsia="仿宋" w:cs="仿宋"/>
                <w:kern w:val="0"/>
                <w:sz w:val="21"/>
                <w:szCs w:val="21"/>
                <w:u w:val="none"/>
              </w:rPr>
              <w:t>学期</w:t>
            </w:r>
          </w:p>
        </w:tc>
        <w:tc>
          <w:tcPr>
            <w:tcW w:w="2231"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敬岗爱岗教育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restart"/>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辅导员意见</w:t>
            </w:r>
          </w:p>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学生意见调查</w:t>
            </w:r>
          </w:p>
        </w:tc>
        <w:tc>
          <w:tcPr>
            <w:tcW w:w="2536" w:type="dxa"/>
            <w:noWrap w:val="0"/>
            <w:vAlign w:val="center"/>
          </w:tcPr>
          <w:p>
            <w:pPr>
              <w:spacing w:line="300" w:lineRule="auto"/>
              <w:ind w:firstLine="0" w:firstLineChars="0"/>
              <w:jc w:val="center"/>
              <w:rPr>
                <w:rFonts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6" w:type="dxa"/>
            <w:vMerge w:val="continue"/>
            <w:noWrap w:val="0"/>
            <w:vAlign w:val="center"/>
          </w:tcPr>
          <w:p>
            <w:pPr>
              <w:spacing w:line="300" w:lineRule="auto"/>
              <w:ind w:firstLine="0" w:firstLineChars="0"/>
              <w:jc w:val="center"/>
              <w:rPr>
                <w:rFonts w:hint="eastAsia" w:ascii="仿宋" w:hAnsi="仿宋" w:eastAsia="仿宋" w:cs="仿宋"/>
                <w:bCs/>
                <w:sz w:val="21"/>
                <w:u w:val="none"/>
              </w:rPr>
            </w:pPr>
          </w:p>
        </w:tc>
        <w:tc>
          <w:tcPr>
            <w:tcW w:w="2231"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lang w:eastAsia="zh-CN"/>
              </w:rPr>
              <w:t>岗位</w:t>
            </w:r>
            <w:r>
              <w:rPr>
                <w:rFonts w:hint="eastAsia" w:ascii="仿宋" w:hAnsi="仿宋" w:eastAsia="仿宋" w:cs="仿宋"/>
                <w:bCs/>
                <w:sz w:val="21"/>
                <w:szCs w:val="21"/>
                <w:u w:val="none"/>
              </w:rPr>
              <w:t>实习安全教育</w:t>
            </w:r>
          </w:p>
        </w:tc>
        <w:tc>
          <w:tcPr>
            <w:tcW w:w="1485"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专题讲座</w:t>
            </w:r>
          </w:p>
        </w:tc>
        <w:tc>
          <w:tcPr>
            <w:tcW w:w="1740" w:type="dxa"/>
            <w:vMerge w:val="continue"/>
            <w:noWrap w:val="0"/>
            <w:vAlign w:val="center"/>
          </w:tcPr>
          <w:p>
            <w:pPr>
              <w:spacing w:line="300" w:lineRule="auto"/>
              <w:ind w:firstLine="0" w:firstLineChars="0"/>
              <w:jc w:val="center"/>
              <w:rPr>
                <w:rFonts w:hint="eastAsia" w:ascii="仿宋" w:hAnsi="仿宋" w:eastAsia="仿宋" w:cs="仿宋"/>
                <w:bCs/>
                <w:sz w:val="21"/>
                <w:szCs w:val="21"/>
                <w:u w:val="none"/>
              </w:rPr>
            </w:pPr>
          </w:p>
        </w:tc>
        <w:tc>
          <w:tcPr>
            <w:tcW w:w="2536" w:type="dxa"/>
            <w:noWrap w:val="0"/>
            <w:vAlign w:val="center"/>
          </w:tcPr>
          <w:p>
            <w:pPr>
              <w:spacing w:line="300" w:lineRule="auto"/>
              <w:ind w:firstLine="0" w:firstLineChars="0"/>
              <w:jc w:val="center"/>
              <w:rPr>
                <w:rFonts w:hint="eastAsia" w:ascii="仿宋" w:hAnsi="仿宋" w:eastAsia="仿宋" w:cs="仿宋"/>
                <w:bCs/>
                <w:sz w:val="21"/>
                <w:szCs w:val="21"/>
                <w:u w:val="none"/>
              </w:rPr>
            </w:pPr>
            <w:r>
              <w:rPr>
                <w:rFonts w:hint="eastAsia" w:ascii="仿宋" w:hAnsi="仿宋" w:eastAsia="仿宋" w:cs="仿宋"/>
                <w:bCs/>
                <w:sz w:val="21"/>
                <w:szCs w:val="21"/>
                <w:u w:val="none"/>
              </w:rPr>
              <w:t>工程</w:t>
            </w:r>
            <w:r>
              <w:rPr>
                <w:rFonts w:hint="eastAsia" w:ascii="仿宋" w:hAnsi="仿宋" w:eastAsia="仿宋" w:cs="仿宋"/>
                <w:bCs/>
                <w:sz w:val="21"/>
                <w:szCs w:val="21"/>
                <w:u w:val="none"/>
                <w:lang w:eastAsia="zh-CN"/>
              </w:rPr>
              <w:t>管理</w:t>
            </w:r>
            <w:r>
              <w:rPr>
                <w:rFonts w:hint="eastAsia" w:ascii="仿宋" w:hAnsi="仿宋" w:eastAsia="仿宋" w:cs="仿宋"/>
                <w:bCs/>
                <w:sz w:val="21"/>
                <w:szCs w:val="21"/>
                <w:u w:val="none"/>
              </w:rPr>
              <w:t>系、教务处</w:t>
            </w:r>
          </w:p>
        </w:tc>
      </w:tr>
    </w:tbl>
    <w:p>
      <w:pPr>
        <w:ind w:firstLine="361" w:firstLineChars="150"/>
        <w:outlineLvl w:val="1"/>
        <w:rPr>
          <w:rFonts w:ascii="黑体" w:eastAsia="黑体"/>
          <w:b/>
          <w:bCs/>
          <w:kern w:val="0"/>
          <w:szCs w:val="20"/>
          <w:u w:val="none"/>
        </w:rPr>
      </w:pPr>
      <w:bookmarkStart w:id="248" w:name="_Toc22617"/>
      <w:bookmarkStart w:id="249" w:name="_Toc4484"/>
      <w:bookmarkStart w:id="250" w:name="_Toc19871"/>
      <w:bookmarkStart w:id="251" w:name="_Toc31882"/>
      <w:bookmarkStart w:id="252" w:name="_Toc9789"/>
      <w:r>
        <w:rPr>
          <w:rFonts w:hint="eastAsia" w:ascii="黑体" w:eastAsia="黑体"/>
          <w:b/>
          <w:bCs/>
          <w:kern w:val="0"/>
          <w:szCs w:val="20"/>
          <w:u w:val="none"/>
        </w:rPr>
        <w:t>（二）教学周历</w:t>
      </w:r>
      <w:bookmarkEnd w:id="247"/>
      <w:bookmarkEnd w:id="248"/>
      <w:bookmarkEnd w:id="249"/>
      <w:bookmarkEnd w:id="250"/>
      <w:bookmarkEnd w:id="251"/>
      <w:bookmarkEnd w:id="252"/>
    </w:p>
    <w:p>
      <w:pPr>
        <w:ind w:firstLine="482"/>
        <w:jc w:val="center"/>
        <w:rPr>
          <w:rFonts w:hint="eastAsia" w:ascii="黑体" w:hAnsi="黑体" w:eastAsia="黑体" w:cs="黑体"/>
          <w:b/>
          <w:bCs/>
          <w:u w:val="none"/>
        </w:rPr>
      </w:pPr>
      <w:bookmarkStart w:id="253" w:name="_Toc31741"/>
      <w:r>
        <w:rPr>
          <w:rFonts w:hint="eastAsia" w:ascii="黑体" w:hAnsi="黑体" w:eastAsia="黑体" w:cs="黑体"/>
          <w:b/>
          <w:bCs/>
          <w:u w:val="none"/>
        </w:rPr>
        <w:t>表11-</w:t>
      </w:r>
      <w:r>
        <w:rPr>
          <w:rFonts w:ascii="黑体" w:hAnsi="黑体" w:eastAsia="黑体" w:cs="黑体"/>
          <w:b/>
          <w:bCs/>
          <w:u w:val="none"/>
        </w:rPr>
        <w:t>2</w:t>
      </w:r>
      <w:r>
        <w:rPr>
          <w:rFonts w:hint="eastAsia" w:ascii="黑体" w:hAnsi="黑体" w:eastAsia="黑体" w:cs="黑体"/>
          <w:b/>
          <w:bCs/>
          <w:u w:val="none"/>
        </w:rPr>
        <w:t>建筑经济信息化管理专业教学周历</w:t>
      </w:r>
    </w:p>
    <w:tbl>
      <w:tblPr>
        <w:tblStyle w:val="18"/>
        <w:tblW w:w="0" w:type="auto"/>
        <w:jc w:val="center"/>
        <w:tblLayout w:type="fixed"/>
        <w:tblCellMar>
          <w:top w:w="0" w:type="dxa"/>
          <w:left w:w="0" w:type="dxa"/>
          <w:bottom w:w="0" w:type="dxa"/>
          <w:right w:w="0" w:type="dxa"/>
        </w:tblCellMar>
      </w:tblPr>
      <w:tblGrid>
        <w:gridCol w:w="391"/>
        <w:gridCol w:w="446"/>
        <w:gridCol w:w="388"/>
        <w:gridCol w:w="388"/>
        <w:gridCol w:w="388"/>
        <w:gridCol w:w="388"/>
        <w:gridCol w:w="389"/>
        <w:gridCol w:w="388"/>
        <w:gridCol w:w="388"/>
        <w:gridCol w:w="388"/>
        <w:gridCol w:w="388"/>
        <w:gridCol w:w="451"/>
        <w:gridCol w:w="326"/>
        <w:gridCol w:w="388"/>
        <w:gridCol w:w="388"/>
        <w:gridCol w:w="388"/>
        <w:gridCol w:w="389"/>
        <w:gridCol w:w="388"/>
        <w:gridCol w:w="388"/>
        <w:gridCol w:w="388"/>
        <w:gridCol w:w="494"/>
        <w:gridCol w:w="395"/>
      </w:tblGrid>
      <w:tr>
        <w:tblPrEx>
          <w:tblCellMar>
            <w:top w:w="0" w:type="dxa"/>
            <w:left w:w="0" w:type="dxa"/>
            <w:bottom w:w="0" w:type="dxa"/>
            <w:right w:w="0" w:type="dxa"/>
          </w:tblCellMar>
        </w:tblPrEx>
        <w:trPr>
          <w:cantSplit/>
          <w:trHeight w:val="330" w:hRule="atLeast"/>
          <w:jc w:val="center"/>
        </w:trPr>
        <w:tc>
          <w:tcPr>
            <w:tcW w:w="39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学</w:t>
            </w:r>
          </w:p>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年</w:t>
            </w:r>
          </w:p>
        </w:tc>
        <w:tc>
          <w:tcPr>
            <w:tcW w:w="4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学</w:t>
            </w:r>
          </w:p>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期</w:t>
            </w:r>
          </w:p>
        </w:tc>
        <w:tc>
          <w:tcPr>
            <w:tcW w:w="7876" w:type="dxa"/>
            <w:gridSpan w:val="20"/>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hint="eastAsia" w:ascii="仿宋" w:hAnsi="仿宋" w:eastAsia="仿宋"/>
                <w:b/>
                <w:sz w:val="21"/>
                <w:szCs w:val="21"/>
                <w:u w:val="none"/>
              </w:rPr>
            </w:pPr>
            <w:r>
              <w:rPr>
                <w:rFonts w:hint="eastAsia" w:ascii="仿宋" w:hAnsi="仿宋" w:eastAsia="仿宋"/>
                <w:b/>
                <w:sz w:val="21"/>
                <w:szCs w:val="21"/>
                <w:u w:val="none"/>
              </w:rPr>
              <w:t>教学周历</w:t>
            </w:r>
          </w:p>
        </w:tc>
      </w:tr>
      <w:tr>
        <w:tblPrEx>
          <w:tblCellMar>
            <w:top w:w="0" w:type="dxa"/>
            <w:left w:w="0" w:type="dxa"/>
            <w:bottom w:w="0" w:type="dxa"/>
            <w:right w:w="0" w:type="dxa"/>
          </w:tblCellMar>
        </w:tblPrEx>
        <w:trPr>
          <w:cantSplit/>
          <w:trHeight w:val="330" w:hRule="atLeast"/>
          <w:jc w:val="center"/>
        </w:trPr>
        <w:tc>
          <w:tcPr>
            <w:tcW w:w="3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 w:hAnsi="仿宋" w:eastAsia="仿宋"/>
                <w:b/>
                <w:sz w:val="21"/>
                <w:szCs w:val="21"/>
                <w:u w:val="none"/>
              </w:rPr>
            </w:pPr>
          </w:p>
        </w:tc>
        <w:tc>
          <w:tcPr>
            <w:tcW w:w="4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 w:hAnsi="仿宋" w:eastAsia="仿宋"/>
                <w:b/>
                <w:sz w:val="21"/>
                <w:szCs w:val="21"/>
                <w:u w:val="none"/>
              </w:rPr>
            </w:pP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2</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3</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4</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5</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6</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7</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8</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9</w:t>
            </w:r>
          </w:p>
        </w:tc>
        <w:tc>
          <w:tcPr>
            <w:tcW w:w="4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10</w:t>
            </w:r>
          </w:p>
        </w:tc>
        <w:tc>
          <w:tcPr>
            <w:tcW w:w="3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11</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12</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13</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14</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15</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16</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17</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18</w:t>
            </w:r>
          </w:p>
        </w:tc>
        <w:tc>
          <w:tcPr>
            <w:tcW w:w="494"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b/>
                <w:sz w:val="21"/>
                <w:szCs w:val="21"/>
                <w:u w:val="none"/>
              </w:rPr>
            </w:pPr>
            <w:r>
              <w:rPr>
                <w:rFonts w:hint="eastAsia" w:ascii="仿宋" w:hAnsi="仿宋" w:eastAsia="仿宋"/>
                <w:b/>
                <w:sz w:val="21"/>
                <w:szCs w:val="21"/>
                <w:u w:val="none"/>
              </w:rPr>
              <w:t>19</w:t>
            </w:r>
          </w:p>
        </w:tc>
        <w:tc>
          <w:tcPr>
            <w:tcW w:w="395"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20</w:t>
            </w:r>
          </w:p>
        </w:tc>
      </w:tr>
      <w:tr>
        <w:tblPrEx>
          <w:tblCellMar>
            <w:top w:w="0" w:type="dxa"/>
            <w:left w:w="0" w:type="dxa"/>
            <w:bottom w:w="0" w:type="dxa"/>
            <w:right w:w="0" w:type="dxa"/>
          </w:tblCellMar>
        </w:tblPrEx>
        <w:trPr>
          <w:cantSplit/>
          <w:trHeight w:val="330" w:hRule="atLeast"/>
          <w:jc w:val="center"/>
        </w:trPr>
        <w:tc>
          <w:tcPr>
            <w:tcW w:w="391"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一</w:t>
            </w:r>
          </w:p>
        </w:tc>
        <w:tc>
          <w:tcPr>
            <w:tcW w:w="4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1</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cs="宋体"/>
                <w:sz w:val="21"/>
                <w:szCs w:val="21"/>
                <w:u w:val="none"/>
              </w:rPr>
            </w:pPr>
            <w:r>
              <w:rPr>
                <w:rFonts w:hint="eastAsia" w:ascii="仿宋" w:hAnsi="仿宋" w:eastAsia="仿宋"/>
                <w:sz w:val="21"/>
                <w:szCs w:val="21"/>
                <w:u w:val="none"/>
              </w:rPr>
              <w:t>〓</w:t>
            </w:r>
          </w:p>
        </w:tc>
        <w:tc>
          <w:tcPr>
            <w:tcW w:w="494"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ascii="仿宋" w:hAnsi="仿宋" w:eastAsia="仿宋" w:cs="宋体"/>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95"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r>
      <w:tr>
        <w:tblPrEx>
          <w:tblCellMar>
            <w:top w:w="0" w:type="dxa"/>
            <w:left w:w="0" w:type="dxa"/>
            <w:bottom w:w="0" w:type="dxa"/>
            <w:right w:w="0" w:type="dxa"/>
          </w:tblCellMar>
        </w:tblPrEx>
        <w:trPr>
          <w:cantSplit/>
          <w:trHeight w:val="330" w:hRule="atLeast"/>
          <w:jc w:val="center"/>
        </w:trPr>
        <w:tc>
          <w:tcPr>
            <w:tcW w:w="3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 w:hAnsi="仿宋" w:eastAsia="仿宋"/>
                <w:b/>
                <w:sz w:val="21"/>
                <w:szCs w:val="21"/>
                <w:u w:val="none"/>
              </w:rPr>
            </w:pPr>
          </w:p>
        </w:tc>
        <w:tc>
          <w:tcPr>
            <w:tcW w:w="4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2</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94"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95"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r>
      <w:tr>
        <w:tblPrEx>
          <w:tblCellMar>
            <w:top w:w="0" w:type="dxa"/>
            <w:left w:w="0" w:type="dxa"/>
            <w:bottom w:w="0" w:type="dxa"/>
            <w:right w:w="0" w:type="dxa"/>
          </w:tblCellMar>
        </w:tblPrEx>
        <w:trPr>
          <w:cantSplit/>
          <w:trHeight w:val="330" w:hRule="atLeast"/>
          <w:jc w:val="center"/>
        </w:trPr>
        <w:tc>
          <w:tcPr>
            <w:tcW w:w="391"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二</w:t>
            </w:r>
          </w:p>
        </w:tc>
        <w:tc>
          <w:tcPr>
            <w:tcW w:w="4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3</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94"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95"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r>
      <w:tr>
        <w:tblPrEx>
          <w:tblCellMar>
            <w:top w:w="0" w:type="dxa"/>
            <w:left w:w="0" w:type="dxa"/>
            <w:bottom w:w="0" w:type="dxa"/>
            <w:right w:w="0" w:type="dxa"/>
          </w:tblCellMar>
        </w:tblPrEx>
        <w:trPr>
          <w:cantSplit/>
          <w:trHeight w:val="330" w:hRule="atLeast"/>
          <w:jc w:val="center"/>
        </w:trPr>
        <w:tc>
          <w:tcPr>
            <w:tcW w:w="3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 w:hAnsi="仿宋" w:eastAsia="仿宋"/>
                <w:b/>
                <w:sz w:val="21"/>
                <w:szCs w:val="21"/>
                <w:u w:val="none"/>
              </w:rPr>
            </w:pPr>
          </w:p>
        </w:tc>
        <w:tc>
          <w:tcPr>
            <w:tcW w:w="4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4</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hint="eastAsia"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94"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95"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r>
      <w:tr>
        <w:tblPrEx>
          <w:tblCellMar>
            <w:top w:w="0" w:type="dxa"/>
            <w:left w:w="0" w:type="dxa"/>
            <w:bottom w:w="0" w:type="dxa"/>
            <w:right w:w="0" w:type="dxa"/>
          </w:tblCellMar>
        </w:tblPrEx>
        <w:trPr>
          <w:cantSplit/>
          <w:trHeight w:val="398" w:hRule="atLeast"/>
          <w:jc w:val="center"/>
        </w:trPr>
        <w:tc>
          <w:tcPr>
            <w:tcW w:w="391"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b/>
                <w:sz w:val="21"/>
                <w:szCs w:val="21"/>
                <w:u w:val="none"/>
              </w:rPr>
            </w:pPr>
            <w:r>
              <w:rPr>
                <w:rFonts w:hint="eastAsia" w:ascii="仿宋" w:hAnsi="仿宋" w:eastAsia="仿宋"/>
                <w:b/>
                <w:sz w:val="21"/>
                <w:szCs w:val="21"/>
                <w:u w:val="none"/>
              </w:rPr>
              <w:t>三</w:t>
            </w:r>
          </w:p>
        </w:tc>
        <w:tc>
          <w:tcPr>
            <w:tcW w:w="4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5</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hint="eastAsia" w:ascii="仿宋" w:hAnsi="仿宋" w:eastAsia="仿宋"/>
                <w:sz w:val="21"/>
                <w:szCs w:val="21"/>
                <w:u w:val="none"/>
              </w:rPr>
            </w:pPr>
            <w:r>
              <w:rPr>
                <w:rFonts w:hint="eastAsia" w:ascii="仿宋" w:hAnsi="仿宋" w:eastAsia="仿宋"/>
                <w:sz w:val="21"/>
                <w:szCs w:val="21"/>
                <w:u w:val="none"/>
              </w:rPr>
              <w:t>〓</w:t>
            </w:r>
          </w:p>
        </w:tc>
        <w:tc>
          <w:tcPr>
            <w:tcW w:w="3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94"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r>
              <w:rPr>
                <w:rFonts w:hint="eastAsia" w:ascii="仿宋" w:hAnsi="仿宋" w:eastAsia="仿宋" w:cs="宋体"/>
                <w:sz w:val="21"/>
                <w:szCs w:val="21"/>
                <w:u w:val="none"/>
              </w:rPr>
              <w:t>︰▲</w:t>
            </w:r>
          </w:p>
        </w:tc>
        <w:tc>
          <w:tcPr>
            <w:tcW w:w="395"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sz w:val="21"/>
                <w:szCs w:val="21"/>
                <w:u w:val="none"/>
              </w:rPr>
            </w:pPr>
            <w:r>
              <w:rPr>
                <w:rFonts w:hint="eastAsia" w:ascii="仿宋" w:hAnsi="仿宋" w:eastAsia="仿宋"/>
                <w:sz w:val="21"/>
                <w:szCs w:val="21"/>
                <w:u w:val="none"/>
              </w:rPr>
              <w:t>■</w:t>
            </w:r>
            <w:r>
              <w:rPr>
                <w:rFonts w:hint="eastAsia" w:cs="宋体"/>
                <w:sz w:val="21"/>
                <w:szCs w:val="21"/>
                <w:u w:val="none"/>
              </w:rPr>
              <w:t>︰</w:t>
            </w:r>
          </w:p>
        </w:tc>
      </w:tr>
      <w:tr>
        <w:tblPrEx>
          <w:tblCellMar>
            <w:top w:w="0" w:type="dxa"/>
            <w:left w:w="0" w:type="dxa"/>
            <w:bottom w:w="0" w:type="dxa"/>
            <w:right w:w="0" w:type="dxa"/>
          </w:tblCellMar>
        </w:tblPrEx>
        <w:trPr>
          <w:cantSplit/>
          <w:trHeight w:val="307" w:hRule="atLeast"/>
          <w:jc w:val="center"/>
        </w:trPr>
        <w:tc>
          <w:tcPr>
            <w:tcW w:w="3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 w:hAnsi="仿宋" w:eastAsia="仿宋"/>
                <w:b/>
                <w:sz w:val="21"/>
                <w:szCs w:val="21"/>
                <w:u w:val="none"/>
              </w:rPr>
            </w:pPr>
          </w:p>
        </w:tc>
        <w:tc>
          <w:tcPr>
            <w:tcW w:w="4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6</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5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38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uto"/>
              <w:ind w:firstLine="0" w:firstLineChars="0"/>
              <w:jc w:val="center"/>
              <w:rPr>
                <w:rFonts w:ascii="仿宋" w:hAnsi="仿宋" w:eastAsia="仿宋"/>
                <w:sz w:val="21"/>
                <w:szCs w:val="21"/>
                <w:u w:val="none"/>
              </w:rPr>
            </w:pPr>
            <w:r>
              <w:rPr>
                <w:rFonts w:hint="eastAsia" w:ascii="仿宋" w:hAnsi="仿宋" w:eastAsia="仿宋"/>
                <w:sz w:val="21"/>
                <w:szCs w:val="21"/>
                <w:u w:val="none"/>
              </w:rPr>
              <w:t>☆</w:t>
            </w:r>
          </w:p>
        </w:tc>
        <w:tc>
          <w:tcPr>
            <w:tcW w:w="49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spacing w:line="240" w:lineRule="auto"/>
              <w:ind w:firstLine="0" w:firstLineChars="0"/>
              <w:rPr>
                <w:rFonts w:ascii="仿宋" w:hAnsi="仿宋" w:eastAsia="仿宋"/>
                <w:sz w:val="21"/>
                <w:szCs w:val="21"/>
                <w:u w:val="none"/>
              </w:rPr>
            </w:pPr>
          </w:p>
        </w:tc>
        <w:tc>
          <w:tcPr>
            <w:tcW w:w="395"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spacing w:line="240" w:lineRule="auto"/>
              <w:ind w:firstLine="0" w:firstLineChars="0"/>
              <w:rPr>
                <w:rFonts w:ascii="仿宋" w:hAnsi="仿宋" w:eastAsia="仿宋"/>
                <w:sz w:val="21"/>
                <w:szCs w:val="21"/>
                <w:u w:val="none"/>
              </w:rPr>
            </w:pPr>
          </w:p>
        </w:tc>
      </w:tr>
    </w:tbl>
    <w:p>
      <w:pPr>
        <w:ind w:firstLine="0" w:firstLineChars="0"/>
        <w:rPr>
          <w:rFonts w:hint="eastAsia"/>
          <w:sz w:val="18"/>
          <w:szCs w:val="18"/>
          <w:u w:val="none"/>
        </w:rPr>
      </w:pPr>
      <w:r>
        <w:rPr>
          <w:rFonts w:hint="eastAsia"/>
          <w:sz w:val="18"/>
          <w:szCs w:val="18"/>
          <w:u w:val="none"/>
        </w:rPr>
        <w:t>入学教育+专业介绍△  军训★   考试</w:t>
      </w:r>
      <w:r>
        <w:rPr>
          <w:rFonts w:hint="eastAsia" w:cs="宋体"/>
          <w:sz w:val="18"/>
          <w:szCs w:val="18"/>
          <w:u w:val="none"/>
        </w:rPr>
        <w:t>︰</w:t>
      </w:r>
      <w:r>
        <w:rPr>
          <w:rFonts w:hint="eastAsia"/>
          <w:sz w:val="18"/>
          <w:szCs w:val="18"/>
          <w:u w:val="none"/>
        </w:rPr>
        <w:t xml:space="preserve">   理论（含课程实践）教学〓    </w:t>
      </w:r>
      <w:r>
        <w:rPr>
          <w:rFonts w:hint="eastAsia"/>
          <w:sz w:val="18"/>
          <w:szCs w:val="18"/>
          <w:u w:val="none"/>
          <w:lang w:eastAsia="zh-CN"/>
        </w:rPr>
        <w:t>岗位</w:t>
      </w:r>
      <w:r>
        <w:rPr>
          <w:rFonts w:hint="eastAsia"/>
          <w:sz w:val="18"/>
          <w:szCs w:val="18"/>
          <w:u w:val="none"/>
        </w:rPr>
        <w:t>实习☆      复习■  劳动周 ▲</w:t>
      </w:r>
    </w:p>
    <w:p>
      <w:pPr>
        <w:ind w:firstLine="0" w:firstLineChars="0"/>
        <w:outlineLvl w:val="1"/>
        <w:rPr>
          <w:rFonts w:ascii="黑体" w:eastAsia="黑体"/>
          <w:b/>
          <w:bCs/>
          <w:kern w:val="0"/>
          <w:szCs w:val="20"/>
          <w:u w:val="none"/>
        </w:rPr>
      </w:pPr>
      <w:bookmarkStart w:id="254" w:name="_Toc28657"/>
      <w:bookmarkStart w:id="255" w:name="_Toc14386"/>
      <w:bookmarkStart w:id="256" w:name="_Toc7582"/>
      <w:bookmarkStart w:id="257" w:name="_Toc28755"/>
      <w:bookmarkStart w:id="258" w:name="_Toc28926"/>
      <w:r>
        <w:rPr>
          <w:rFonts w:hint="eastAsia" w:ascii="黑体" w:eastAsia="黑体"/>
          <w:b/>
          <w:bCs/>
          <w:kern w:val="0"/>
          <w:szCs w:val="20"/>
          <w:u w:val="none"/>
        </w:rPr>
        <w:t>（三）课程结构比例分布表</w:t>
      </w:r>
      <w:bookmarkEnd w:id="253"/>
      <w:bookmarkEnd w:id="254"/>
      <w:bookmarkEnd w:id="255"/>
      <w:bookmarkEnd w:id="256"/>
      <w:bookmarkEnd w:id="257"/>
      <w:bookmarkEnd w:id="258"/>
    </w:p>
    <w:p>
      <w:pPr>
        <w:ind w:firstLine="361" w:firstLineChars="150"/>
        <w:jc w:val="center"/>
        <w:rPr>
          <w:rFonts w:hint="eastAsia" w:ascii="黑体" w:eastAsia="黑体"/>
          <w:b/>
          <w:bCs/>
          <w:kern w:val="0"/>
          <w:szCs w:val="20"/>
          <w:u w:val="none"/>
        </w:rPr>
      </w:pPr>
      <w:r>
        <w:rPr>
          <w:rFonts w:hint="eastAsia" w:ascii="黑体" w:hAnsi="黑体" w:eastAsia="黑体" w:cs="黑体"/>
          <w:b/>
          <w:bCs/>
          <w:u w:val="none"/>
        </w:rPr>
        <w:t>表11-</w:t>
      </w:r>
      <w:r>
        <w:rPr>
          <w:rFonts w:ascii="黑体" w:hAnsi="黑体" w:eastAsia="黑体" w:cs="黑体"/>
          <w:b/>
          <w:bCs/>
          <w:u w:val="none"/>
        </w:rPr>
        <w:t>3</w:t>
      </w:r>
      <w:r>
        <w:rPr>
          <w:rFonts w:hint="eastAsia" w:ascii="黑体" w:hAnsi="黑体" w:eastAsia="黑体" w:cs="黑体"/>
          <w:b/>
          <w:bCs/>
          <w:u w:val="none"/>
        </w:rPr>
        <w:t xml:space="preserve"> 建筑经济信息化管理专业课程结构比例分布</w:t>
      </w:r>
    </w:p>
    <w:tbl>
      <w:tblPr>
        <w:tblStyle w:val="18"/>
        <w:tblpPr w:leftFromText="180" w:rightFromText="180" w:vertAnchor="text" w:horzAnchor="margin" w:tblpY="100"/>
        <w:tblOverlap w:val="never"/>
        <w:tblW w:w="8778" w:type="dxa"/>
        <w:tblInd w:w="0" w:type="dxa"/>
        <w:tblLayout w:type="fixed"/>
        <w:tblCellMar>
          <w:top w:w="0" w:type="dxa"/>
          <w:left w:w="0" w:type="dxa"/>
          <w:bottom w:w="0" w:type="dxa"/>
          <w:right w:w="0" w:type="dxa"/>
        </w:tblCellMar>
      </w:tblPr>
      <w:tblGrid>
        <w:gridCol w:w="1986"/>
        <w:gridCol w:w="2145"/>
        <w:gridCol w:w="715"/>
        <w:gridCol w:w="893"/>
        <w:gridCol w:w="715"/>
        <w:gridCol w:w="894"/>
        <w:gridCol w:w="1430"/>
      </w:tblGrid>
      <w:tr>
        <w:tblPrEx>
          <w:tblCellMar>
            <w:top w:w="0" w:type="dxa"/>
            <w:left w:w="0" w:type="dxa"/>
            <w:bottom w:w="0" w:type="dxa"/>
            <w:right w:w="0" w:type="dxa"/>
          </w:tblCellMar>
        </w:tblPrEx>
        <w:trPr>
          <w:cantSplit/>
          <w:trHeight w:val="421" w:hRule="atLeast"/>
        </w:trPr>
        <w:tc>
          <w:tcPr>
            <w:tcW w:w="198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2"/>
              <w:ind w:firstLine="0" w:firstLineChars="0"/>
              <w:rPr>
                <w:rFonts w:hint="eastAsia" w:ascii="黑体" w:eastAsia="黑体" w:cs="宋体"/>
                <w:b/>
                <w:sz w:val="21"/>
                <w:szCs w:val="21"/>
                <w:u w:val="none"/>
              </w:rPr>
            </w:pPr>
            <w:bookmarkStart w:id="259" w:name="_Toc3799"/>
            <w:bookmarkStart w:id="260" w:name="_Toc9412"/>
            <w:bookmarkStart w:id="261" w:name="_Toc15329"/>
            <w:bookmarkStart w:id="262" w:name="_Toc30201"/>
            <w:bookmarkStart w:id="263" w:name="_Toc4462"/>
            <w:bookmarkStart w:id="264" w:name="_Toc770"/>
            <w:r>
              <w:rPr>
                <w:rFonts w:hint="eastAsia" w:ascii="黑体" w:eastAsia="黑体" w:cs="宋体"/>
                <w:b/>
                <w:sz w:val="21"/>
                <w:szCs w:val="21"/>
                <w:u w:val="none"/>
              </w:rPr>
              <w:t>课程类别</w:t>
            </w:r>
          </w:p>
        </w:tc>
        <w:tc>
          <w:tcPr>
            <w:tcW w:w="214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2"/>
              <w:ind w:firstLine="422"/>
              <w:jc w:val="both"/>
              <w:rPr>
                <w:rFonts w:ascii="黑体" w:eastAsia="黑体" w:cs="宋体"/>
                <w:b/>
                <w:sz w:val="21"/>
                <w:szCs w:val="21"/>
                <w:u w:val="none"/>
              </w:rPr>
            </w:pPr>
            <w:r>
              <w:rPr>
                <w:rFonts w:hint="eastAsia" w:ascii="黑体" w:eastAsia="黑体" w:cs="宋体"/>
                <w:b/>
                <w:sz w:val="21"/>
                <w:szCs w:val="21"/>
                <w:u w:val="none"/>
              </w:rPr>
              <w:t>学时分布</w:t>
            </w:r>
          </w:p>
          <w:p>
            <w:pPr>
              <w:pStyle w:val="32"/>
              <w:ind w:firstLine="0" w:firstLineChars="0"/>
              <w:jc w:val="both"/>
              <w:rPr>
                <w:rFonts w:hint="eastAsia" w:ascii="黑体" w:eastAsia="黑体" w:cs="宋体"/>
                <w:b/>
                <w:sz w:val="21"/>
                <w:szCs w:val="21"/>
                <w:u w:val="none"/>
              </w:rPr>
            </w:pPr>
            <w:r>
              <w:rPr>
                <w:rFonts w:hint="eastAsia" w:ascii="黑体" w:eastAsia="黑体" w:cs="宋体"/>
                <w:b/>
                <w:sz w:val="21"/>
                <w:szCs w:val="21"/>
                <w:u w:val="none"/>
              </w:rPr>
              <w:t>（理论/实践/</w:t>
            </w:r>
          </w:p>
          <w:p>
            <w:pPr>
              <w:pStyle w:val="32"/>
              <w:ind w:firstLine="422"/>
              <w:rPr>
                <w:rFonts w:hint="eastAsia" w:ascii="黑体" w:eastAsia="黑体" w:cs="宋体"/>
                <w:b/>
                <w:sz w:val="21"/>
                <w:szCs w:val="21"/>
                <w:u w:val="none"/>
              </w:rPr>
            </w:pPr>
            <w:r>
              <w:rPr>
                <w:rFonts w:hint="eastAsia" w:ascii="黑体" w:eastAsia="黑体" w:cs="宋体"/>
                <w:b/>
                <w:sz w:val="21"/>
                <w:szCs w:val="21"/>
                <w:u w:val="none"/>
              </w:rPr>
              <w:t>理论+实践）</w:t>
            </w:r>
          </w:p>
        </w:tc>
        <w:tc>
          <w:tcPr>
            <w:tcW w:w="4647" w:type="dxa"/>
            <w:gridSpan w:val="5"/>
            <w:tcBorders>
              <w:top w:val="single" w:color="auto" w:sz="4" w:space="0"/>
              <w:left w:val="nil"/>
              <w:bottom w:val="single" w:color="auto" w:sz="4" w:space="0"/>
              <w:right w:val="single" w:color="auto" w:sz="4" w:space="0"/>
            </w:tcBorders>
            <w:noWrap w:val="0"/>
            <w:vAlign w:val="center"/>
          </w:tcPr>
          <w:p>
            <w:pPr>
              <w:pStyle w:val="32"/>
              <w:ind w:firstLine="0" w:firstLineChars="0"/>
              <w:rPr>
                <w:rFonts w:hint="eastAsia" w:ascii="黑体" w:eastAsia="黑体" w:cs="宋体"/>
                <w:b/>
                <w:sz w:val="21"/>
                <w:szCs w:val="21"/>
                <w:u w:val="none"/>
              </w:rPr>
            </w:pPr>
            <w:r>
              <w:rPr>
                <w:rFonts w:hint="eastAsia" w:ascii="黑体" w:eastAsia="黑体" w:cs="宋体"/>
                <w:b/>
                <w:sz w:val="21"/>
                <w:szCs w:val="21"/>
                <w:u w:val="none"/>
              </w:rPr>
              <w:t>学时结构要求</w:t>
            </w:r>
          </w:p>
        </w:tc>
      </w:tr>
      <w:tr>
        <w:tblPrEx>
          <w:tblCellMar>
            <w:top w:w="0" w:type="dxa"/>
            <w:left w:w="0" w:type="dxa"/>
            <w:bottom w:w="0" w:type="dxa"/>
            <w:right w:w="0" w:type="dxa"/>
          </w:tblCellMar>
        </w:tblPrEx>
        <w:trPr>
          <w:cantSplit/>
          <w:trHeight w:val="792" w:hRule="atLeast"/>
        </w:trPr>
        <w:tc>
          <w:tcPr>
            <w:tcW w:w="1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hint="eastAsia" w:ascii="黑体" w:hAnsi="宋体" w:eastAsia="黑体" w:cs="宋体"/>
                <w:b/>
                <w:sz w:val="21"/>
                <w:szCs w:val="21"/>
                <w:u w:val="none"/>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黑体" w:hAnsi="宋体" w:eastAsia="黑体" w:cs="宋体"/>
                <w:b/>
                <w:sz w:val="21"/>
                <w:szCs w:val="21"/>
                <w:u w:val="none"/>
              </w:rPr>
            </w:pPr>
          </w:p>
        </w:tc>
        <w:tc>
          <w:tcPr>
            <w:tcW w:w="715" w:type="dxa"/>
            <w:vMerge w:val="restart"/>
            <w:tcBorders>
              <w:top w:val="nil"/>
              <w:left w:val="nil"/>
              <w:bottom w:val="single" w:color="auto" w:sz="4" w:space="0"/>
              <w:right w:val="single" w:color="auto" w:sz="4" w:space="0"/>
            </w:tcBorders>
            <w:noWrap w:val="0"/>
            <w:vAlign w:val="center"/>
          </w:tcPr>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总</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学</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时</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数</w:t>
            </w:r>
          </w:p>
        </w:tc>
        <w:tc>
          <w:tcPr>
            <w:tcW w:w="893" w:type="dxa"/>
            <w:vMerge w:val="restart"/>
            <w:tcBorders>
              <w:top w:val="nil"/>
              <w:left w:val="nil"/>
              <w:bottom w:val="single" w:color="auto" w:sz="4" w:space="0"/>
              <w:right w:val="single" w:color="auto" w:sz="4" w:space="0"/>
            </w:tcBorders>
            <w:noWrap w:val="0"/>
            <w:vAlign w:val="center"/>
          </w:tcPr>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理论</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教学</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学时数</w:t>
            </w:r>
          </w:p>
        </w:tc>
        <w:tc>
          <w:tcPr>
            <w:tcW w:w="715" w:type="dxa"/>
            <w:vMerge w:val="restart"/>
            <w:tcBorders>
              <w:top w:val="nil"/>
              <w:left w:val="nil"/>
              <w:bottom w:val="single" w:color="auto" w:sz="4" w:space="0"/>
              <w:right w:val="single" w:color="auto" w:sz="4" w:space="0"/>
            </w:tcBorders>
            <w:noWrap w:val="0"/>
            <w:vAlign w:val="center"/>
          </w:tcPr>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实践</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教学</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学时数</w:t>
            </w:r>
          </w:p>
        </w:tc>
        <w:tc>
          <w:tcPr>
            <w:tcW w:w="894" w:type="dxa"/>
            <w:vMerge w:val="restart"/>
            <w:tcBorders>
              <w:top w:val="nil"/>
              <w:left w:val="nil"/>
              <w:bottom w:val="single" w:color="auto" w:sz="4" w:space="0"/>
              <w:right w:val="single" w:color="auto" w:sz="4" w:space="0"/>
            </w:tcBorders>
            <w:noWrap w:val="0"/>
            <w:vAlign w:val="center"/>
          </w:tcPr>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理论+实践教学</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u w:val="none"/>
              </w:rPr>
              <w:t>学时数</w:t>
            </w:r>
          </w:p>
        </w:tc>
        <w:tc>
          <w:tcPr>
            <w:tcW w:w="1430" w:type="dxa"/>
            <w:vMerge w:val="restart"/>
            <w:tcBorders>
              <w:top w:val="nil"/>
              <w:left w:val="nil"/>
              <w:bottom w:val="single" w:color="auto" w:sz="4" w:space="0"/>
              <w:right w:val="single" w:color="auto" w:sz="4" w:space="0"/>
            </w:tcBorders>
            <w:noWrap w:val="0"/>
            <w:vAlign w:val="center"/>
          </w:tcPr>
          <w:p>
            <w:pPr>
              <w:widowControl/>
              <w:ind w:firstLine="105" w:firstLineChars="50"/>
              <w:jc w:val="center"/>
              <w:rPr>
                <w:rFonts w:hint="eastAsia" w:ascii="黑体" w:hAnsi="宋体" w:eastAsia="黑体" w:cs="宋体"/>
                <w:b/>
                <w:sz w:val="21"/>
                <w:szCs w:val="21"/>
              </w:rPr>
            </w:pPr>
            <w:r>
              <w:rPr>
                <w:rFonts w:hint="eastAsia" w:ascii="黑体" w:hAnsi="宋体" w:eastAsia="黑体" w:cs="宋体"/>
                <w:b/>
                <w:sz w:val="21"/>
                <w:szCs w:val="21"/>
              </w:rPr>
              <w:t>理论教学与</w:t>
            </w:r>
          </w:p>
          <w:p>
            <w:pPr>
              <w:widowControl/>
              <w:ind w:firstLine="105" w:firstLineChars="50"/>
              <w:jc w:val="center"/>
              <w:rPr>
                <w:rFonts w:hint="eastAsia" w:ascii="黑体" w:hAnsi="宋体" w:eastAsia="黑体" w:cs="宋体"/>
                <w:b/>
                <w:sz w:val="21"/>
                <w:szCs w:val="21"/>
              </w:rPr>
            </w:pPr>
            <w:r>
              <w:rPr>
                <w:rFonts w:hint="eastAsia" w:ascii="黑体" w:hAnsi="宋体" w:eastAsia="黑体" w:cs="宋体"/>
                <w:b/>
                <w:sz w:val="21"/>
                <w:szCs w:val="21"/>
              </w:rPr>
              <w:t>实践教学与</w:t>
            </w:r>
          </w:p>
          <w:p>
            <w:pPr>
              <w:widowControl/>
              <w:ind w:firstLine="105" w:firstLineChars="50"/>
              <w:jc w:val="center"/>
              <w:rPr>
                <w:rFonts w:hint="eastAsia" w:ascii="黑体" w:hAnsi="宋体" w:eastAsia="黑体" w:cs="宋体"/>
                <w:b/>
                <w:sz w:val="21"/>
                <w:szCs w:val="21"/>
              </w:rPr>
            </w:pPr>
            <w:r>
              <w:rPr>
                <w:rFonts w:hint="eastAsia" w:ascii="黑体" w:hAnsi="宋体" w:eastAsia="黑体" w:cs="宋体"/>
                <w:b/>
                <w:sz w:val="21"/>
                <w:szCs w:val="21"/>
              </w:rPr>
              <w:t>总学时数</w:t>
            </w:r>
          </w:p>
          <w:p>
            <w:pPr>
              <w:widowControl/>
              <w:ind w:firstLine="105" w:firstLineChars="50"/>
              <w:jc w:val="center"/>
              <w:rPr>
                <w:rFonts w:hint="eastAsia" w:ascii="黑体" w:hAnsi="宋体" w:eastAsia="黑体" w:cs="宋体"/>
                <w:b/>
                <w:sz w:val="21"/>
                <w:szCs w:val="21"/>
                <w:u w:val="none"/>
              </w:rPr>
            </w:pPr>
            <w:r>
              <w:rPr>
                <w:rFonts w:hint="eastAsia" w:ascii="黑体" w:hAnsi="宋体" w:eastAsia="黑体" w:cs="宋体"/>
                <w:b/>
                <w:sz w:val="21"/>
                <w:szCs w:val="21"/>
              </w:rPr>
              <w:t>比例</w:t>
            </w:r>
            <w:r>
              <w:rPr>
                <w:rFonts w:hint="eastAsia" w:ascii="黑体" w:hAnsi="宋体" w:eastAsia="黑体" w:cs="宋体"/>
                <w:b/>
                <w:sz w:val="21"/>
                <w:szCs w:val="21"/>
                <w:lang w:eastAsia="zh-CN"/>
              </w:rPr>
              <w:t>（</w:t>
            </w:r>
            <w:r>
              <w:rPr>
                <w:rFonts w:hint="eastAsia" w:ascii="黑体" w:hAnsi="宋体" w:eastAsia="黑体" w:cs="宋体"/>
                <w:b/>
                <w:sz w:val="21"/>
                <w:szCs w:val="21"/>
                <w:lang w:val="en-US" w:eastAsia="zh-CN"/>
              </w:rPr>
              <w:t>%</w:t>
            </w:r>
            <w:r>
              <w:rPr>
                <w:rFonts w:hint="eastAsia" w:ascii="黑体" w:hAnsi="宋体" w:eastAsia="黑体" w:cs="宋体"/>
                <w:b/>
                <w:sz w:val="21"/>
                <w:szCs w:val="21"/>
                <w:lang w:eastAsia="zh-CN"/>
              </w:rPr>
              <w:t>）</w:t>
            </w:r>
          </w:p>
        </w:tc>
      </w:tr>
      <w:tr>
        <w:tblPrEx>
          <w:tblCellMar>
            <w:top w:w="0" w:type="dxa"/>
            <w:left w:w="0" w:type="dxa"/>
            <w:bottom w:w="0" w:type="dxa"/>
            <w:right w:w="0" w:type="dxa"/>
          </w:tblCellMar>
        </w:tblPrEx>
        <w:trPr>
          <w:cantSplit/>
          <w:trHeight w:val="488" w:hRule="atLeast"/>
        </w:trPr>
        <w:tc>
          <w:tcPr>
            <w:tcW w:w="1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0" w:firstLineChars="0"/>
              <w:rPr>
                <w:rFonts w:hint="eastAsia" w:ascii="仿宋" w:hAnsi="仿宋" w:eastAsia="仿宋" w:cs="宋体"/>
                <w:sz w:val="21"/>
                <w:szCs w:val="21"/>
                <w:u w:val="none"/>
              </w:rPr>
            </w:pPr>
            <w:r>
              <w:rPr>
                <w:rFonts w:hint="eastAsia" w:ascii="仿宋" w:hAnsi="仿宋" w:eastAsia="仿宋" w:cs="宋体"/>
                <w:sz w:val="21"/>
                <w:szCs w:val="21"/>
                <w:u w:val="none"/>
              </w:rPr>
              <w:t>公共基础课</w:t>
            </w: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0" w:firstLineChars="0"/>
              <w:rPr>
                <w:rFonts w:hint="default" w:ascii="仿宋" w:hAnsi="仿宋" w:eastAsia="仿宋" w:cs="宋体"/>
                <w:sz w:val="21"/>
                <w:szCs w:val="21"/>
                <w:u w:val="none"/>
                <w:lang w:val="en-US" w:eastAsia="zh-CN"/>
              </w:rPr>
            </w:pPr>
            <w:r>
              <w:rPr>
                <w:rFonts w:hint="eastAsia" w:ascii="仿宋" w:hAnsi="仿宋" w:eastAsia="仿宋" w:cs="宋体"/>
                <w:sz w:val="21"/>
                <w:szCs w:val="21"/>
                <w:u w:val="none"/>
                <w:lang w:val="en-US" w:eastAsia="zh-CN"/>
              </w:rPr>
              <w:t>708</w:t>
            </w:r>
            <w:r>
              <w:rPr>
                <w:rFonts w:hint="eastAsia" w:ascii="仿宋" w:hAnsi="仿宋" w:eastAsia="仿宋" w:cs="宋体"/>
                <w:sz w:val="21"/>
                <w:szCs w:val="21"/>
                <w:u w:val="none"/>
              </w:rPr>
              <w:t>/</w:t>
            </w:r>
            <w:r>
              <w:rPr>
                <w:rFonts w:hint="eastAsia" w:ascii="仿宋" w:hAnsi="仿宋" w:eastAsia="仿宋" w:cs="宋体"/>
                <w:sz w:val="21"/>
                <w:szCs w:val="21"/>
                <w:u w:val="none"/>
                <w:lang w:val="en-US" w:eastAsia="zh-CN"/>
              </w:rPr>
              <w:t>400</w:t>
            </w:r>
            <w:r>
              <w:rPr>
                <w:rFonts w:hint="eastAsia" w:ascii="仿宋" w:hAnsi="仿宋" w:eastAsia="仿宋" w:cs="宋体"/>
                <w:sz w:val="21"/>
                <w:szCs w:val="21"/>
                <w:u w:val="none"/>
              </w:rPr>
              <w:t>/</w:t>
            </w:r>
            <w:r>
              <w:rPr>
                <w:rFonts w:hint="eastAsia" w:ascii="仿宋" w:hAnsi="仿宋" w:eastAsia="仿宋" w:cs="宋体"/>
                <w:sz w:val="21"/>
                <w:szCs w:val="21"/>
                <w:u w:val="none"/>
                <w:lang w:val="en-US" w:eastAsia="zh-CN"/>
              </w:rPr>
              <w:t>1108</w:t>
            </w:r>
          </w:p>
        </w:tc>
        <w:tc>
          <w:tcPr>
            <w:tcW w:w="715" w:type="dxa"/>
            <w:vMerge w:val="continue"/>
            <w:tcBorders>
              <w:top w:val="single" w:color="auto" w:sz="4" w:space="0"/>
              <w:left w:val="single" w:color="auto" w:sz="4" w:space="0"/>
              <w:right w:val="single" w:color="auto" w:sz="4" w:space="0"/>
            </w:tcBorders>
            <w:noWrap w:val="0"/>
            <w:vAlign w:val="center"/>
          </w:tcPr>
          <w:p>
            <w:pPr>
              <w:pStyle w:val="32"/>
              <w:spacing w:line="360" w:lineRule="auto"/>
              <w:ind w:firstLine="420"/>
              <w:rPr>
                <w:rFonts w:hint="eastAsia" w:ascii="仿宋" w:hAnsi="仿宋" w:eastAsia="仿宋" w:cs="宋体"/>
                <w:sz w:val="21"/>
                <w:szCs w:val="21"/>
                <w:u w:val="none"/>
              </w:rPr>
            </w:pPr>
          </w:p>
        </w:tc>
        <w:tc>
          <w:tcPr>
            <w:tcW w:w="893" w:type="dxa"/>
            <w:vMerge w:val="continue"/>
            <w:tcBorders>
              <w:top w:val="single" w:color="auto" w:sz="4" w:space="0"/>
              <w:left w:val="single" w:color="auto" w:sz="4" w:space="0"/>
              <w:right w:val="single" w:color="auto" w:sz="4" w:space="0"/>
            </w:tcBorders>
            <w:noWrap w:val="0"/>
            <w:vAlign w:val="center"/>
          </w:tcPr>
          <w:p>
            <w:pPr>
              <w:pStyle w:val="32"/>
              <w:spacing w:line="360" w:lineRule="auto"/>
              <w:ind w:firstLine="420"/>
              <w:rPr>
                <w:rFonts w:hint="eastAsia" w:ascii="仿宋" w:hAnsi="仿宋" w:eastAsia="仿宋" w:cs="宋体"/>
                <w:sz w:val="21"/>
                <w:szCs w:val="21"/>
                <w:u w:val="none"/>
              </w:rPr>
            </w:pPr>
          </w:p>
        </w:tc>
        <w:tc>
          <w:tcPr>
            <w:tcW w:w="715" w:type="dxa"/>
            <w:vMerge w:val="continue"/>
            <w:tcBorders>
              <w:top w:val="single" w:color="auto" w:sz="4" w:space="0"/>
              <w:left w:val="single" w:color="auto" w:sz="4" w:space="0"/>
              <w:right w:val="single" w:color="auto" w:sz="4" w:space="0"/>
            </w:tcBorders>
            <w:noWrap w:val="0"/>
            <w:vAlign w:val="center"/>
          </w:tcPr>
          <w:p>
            <w:pPr>
              <w:pStyle w:val="32"/>
              <w:spacing w:line="360" w:lineRule="auto"/>
              <w:ind w:firstLine="420"/>
              <w:rPr>
                <w:rFonts w:hint="eastAsia" w:ascii="仿宋" w:hAnsi="仿宋" w:eastAsia="仿宋" w:cs="宋体"/>
                <w:sz w:val="21"/>
                <w:szCs w:val="21"/>
                <w:u w:val="none"/>
              </w:rPr>
            </w:pPr>
          </w:p>
        </w:tc>
        <w:tc>
          <w:tcPr>
            <w:tcW w:w="894" w:type="dxa"/>
            <w:vMerge w:val="continue"/>
            <w:tcBorders>
              <w:top w:val="single" w:color="auto" w:sz="4" w:space="0"/>
              <w:left w:val="single" w:color="auto" w:sz="4" w:space="0"/>
              <w:right w:val="single" w:color="auto" w:sz="4" w:space="0"/>
            </w:tcBorders>
            <w:noWrap w:val="0"/>
            <w:vAlign w:val="center"/>
          </w:tcPr>
          <w:p>
            <w:pPr>
              <w:pStyle w:val="32"/>
              <w:spacing w:line="360" w:lineRule="auto"/>
              <w:ind w:firstLine="420"/>
              <w:rPr>
                <w:rFonts w:hint="eastAsia" w:ascii="仿宋" w:hAnsi="仿宋" w:eastAsia="仿宋" w:cs="宋体"/>
                <w:sz w:val="21"/>
                <w:szCs w:val="21"/>
                <w:u w:val="none"/>
              </w:rPr>
            </w:pPr>
          </w:p>
        </w:tc>
        <w:tc>
          <w:tcPr>
            <w:tcW w:w="1430" w:type="dxa"/>
            <w:vMerge w:val="continue"/>
            <w:tcBorders>
              <w:top w:val="single" w:color="auto" w:sz="4" w:space="0"/>
              <w:left w:val="single" w:color="auto" w:sz="4" w:space="0"/>
              <w:right w:val="single" w:color="auto" w:sz="4" w:space="0"/>
            </w:tcBorders>
            <w:noWrap w:val="0"/>
            <w:vAlign w:val="center"/>
          </w:tcPr>
          <w:p>
            <w:pPr>
              <w:pStyle w:val="32"/>
              <w:spacing w:line="360" w:lineRule="auto"/>
              <w:ind w:firstLine="420"/>
              <w:rPr>
                <w:rFonts w:hint="eastAsia" w:ascii="仿宋" w:hAnsi="仿宋" w:eastAsia="仿宋" w:cs="宋体"/>
                <w:sz w:val="21"/>
                <w:szCs w:val="21"/>
                <w:u w:val="none"/>
              </w:rPr>
            </w:pPr>
          </w:p>
        </w:tc>
      </w:tr>
      <w:tr>
        <w:tblPrEx>
          <w:tblCellMar>
            <w:top w:w="0" w:type="dxa"/>
            <w:left w:w="0" w:type="dxa"/>
            <w:bottom w:w="0" w:type="dxa"/>
            <w:right w:w="0" w:type="dxa"/>
          </w:tblCellMar>
        </w:tblPrEx>
        <w:trPr>
          <w:cantSplit/>
          <w:trHeight w:val="488" w:hRule="atLeast"/>
        </w:trPr>
        <w:tc>
          <w:tcPr>
            <w:tcW w:w="1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0" w:firstLineChars="0"/>
              <w:rPr>
                <w:rFonts w:hint="eastAsia" w:ascii="仿宋" w:hAnsi="仿宋" w:eastAsia="仿宋" w:cs="宋体"/>
                <w:sz w:val="21"/>
                <w:szCs w:val="21"/>
                <w:u w:val="none"/>
              </w:rPr>
            </w:pPr>
            <w:r>
              <w:rPr>
                <w:rFonts w:hint="eastAsia" w:ascii="仿宋" w:hAnsi="仿宋" w:eastAsia="仿宋" w:cs="宋体"/>
                <w:sz w:val="21"/>
                <w:szCs w:val="21"/>
                <w:u w:val="none"/>
              </w:rPr>
              <w:t>专业基础课</w:t>
            </w: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0" w:firstLineChars="0"/>
              <w:rPr>
                <w:rFonts w:ascii="仿宋" w:hAnsi="仿宋" w:eastAsia="仿宋" w:cs="宋体"/>
                <w:sz w:val="21"/>
                <w:szCs w:val="21"/>
                <w:u w:val="none"/>
              </w:rPr>
            </w:pPr>
            <w:r>
              <w:rPr>
                <w:rFonts w:hint="eastAsia" w:ascii="仿宋" w:hAnsi="仿宋" w:eastAsia="仿宋" w:cs="宋体"/>
                <w:sz w:val="21"/>
                <w:szCs w:val="21"/>
                <w:u w:val="none"/>
              </w:rPr>
              <w:t>440</w:t>
            </w:r>
            <w:r>
              <w:rPr>
                <w:rFonts w:ascii="仿宋" w:hAnsi="仿宋" w:eastAsia="仿宋" w:cs="宋体"/>
                <w:sz w:val="21"/>
                <w:szCs w:val="21"/>
                <w:u w:val="none"/>
              </w:rPr>
              <w:t>/</w:t>
            </w:r>
            <w:r>
              <w:rPr>
                <w:rFonts w:hint="eastAsia" w:ascii="仿宋" w:hAnsi="仿宋" w:eastAsia="仿宋" w:cs="宋体"/>
                <w:sz w:val="21"/>
                <w:szCs w:val="21"/>
                <w:u w:val="none"/>
              </w:rPr>
              <w:t>292</w:t>
            </w:r>
            <w:r>
              <w:rPr>
                <w:rFonts w:ascii="仿宋" w:hAnsi="仿宋" w:eastAsia="仿宋" w:cs="宋体"/>
                <w:sz w:val="21"/>
                <w:szCs w:val="21"/>
                <w:u w:val="none"/>
              </w:rPr>
              <w:t>/</w:t>
            </w:r>
            <w:r>
              <w:rPr>
                <w:rFonts w:hint="eastAsia" w:ascii="仿宋" w:hAnsi="仿宋" w:eastAsia="仿宋" w:cs="宋体"/>
                <w:sz w:val="21"/>
                <w:szCs w:val="21"/>
                <w:u w:val="none"/>
              </w:rPr>
              <w:t>732</w:t>
            </w:r>
          </w:p>
        </w:tc>
        <w:tc>
          <w:tcPr>
            <w:tcW w:w="715"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893"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715"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894"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1430"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r>
      <w:tr>
        <w:tblPrEx>
          <w:tblCellMar>
            <w:top w:w="0" w:type="dxa"/>
            <w:left w:w="0" w:type="dxa"/>
            <w:bottom w:w="0" w:type="dxa"/>
            <w:right w:w="0" w:type="dxa"/>
          </w:tblCellMar>
        </w:tblPrEx>
        <w:trPr>
          <w:cantSplit/>
          <w:trHeight w:val="488" w:hRule="atLeast"/>
        </w:trPr>
        <w:tc>
          <w:tcPr>
            <w:tcW w:w="1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0" w:firstLineChars="0"/>
              <w:rPr>
                <w:rFonts w:hint="eastAsia" w:ascii="仿宋" w:hAnsi="仿宋" w:eastAsia="仿宋" w:cs="宋体"/>
                <w:sz w:val="21"/>
                <w:szCs w:val="21"/>
                <w:u w:val="none"/>
              </w:rPr>
            </w:pPr>
            <w:r>
              <w:rPr>
                <w:rFonts w:hint="eastAsia" w:ascii="仿宋" w:hAnsi="仿宋" w:eastAsia="仿宋" w:cs="宋体"/>
                <w:sz w:val="21"/>
                <w:szCs w:val="21"/>
                <w:u w:val="none"/>
              </w:rPr>
              <w:t>专业核心课</w:t>
            </w: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0" w:firstLineChars="0"/>
              <w:rPr>
                <w:rFonts w:ascii="仿宋" w:hAnsi="仿宋" w:eastAsia="仿宋" w:cs="宋体"/>
                <w:sz w:val="21"/>
                <w:szCs w:val="21"/>
                <w:u w:val="none"/>
              </w:rPr>
            </w:pPr>
            <w:r>
              <w:rPr>
                <w:rFonts w:hint="eastAsia" w:ascii="仿宋" w:hAnsi="仿宋" w:eastAsia="仿宋" w:cs="宋体"/>
                <w:sz w:val="21"/>
                <w:szCs w:val="21"/>
                <w:u w:val="none"/>
              </w:rPr>
              <w:t>258</w:t>
            </w:r>
            <w:r>
              <w:rPr>
                <w:rFonts w:ascii="仿宋" w:hAnsi="仿宋" w:eastAsia="仿宋" w:cs="宋体"/>
                <w:sz w:val="21"/>
                <w:szCs w:val="21"/>
                <w:u w:val="none"/>
              </w:rPr>
              <w:t>/1</w:t>
            </w:r>
            <w:r>
              <w:rPr>
                <w:rFonts w:hint="eastAsia" w:ascii="仿宋" w:hAnsi="仿宋" w:eastAsia="仿宋" w:cs="宋体"/>
                <w:sz w:val="21"/>
                <w:szCs w:val="21"/>
                <w:u w:val="none"/>
              </w:rPr>
              <w:t>74</w:t>
            </w:r>
            <w:r>
              <w:rPr>
                <w:rFonts w:ascii="仿宋" w:hAnsi="仿宋" w:eastAsia="仿宋" w:cs="宋体"/>
                <w:sz w:val="21"/>
                <w:szCs w:val="21"/>
                <w:u w:val="none"/>
              </w:rPr>
              <w:t>/</w:t>
            </w:r>
            <w:r>
              <w:rPr>
                <w:rFonts w:hint="eastAsia" w:ascii="仿宋" w:hAnsi="仿宋" w:eastAsia="仿宋" w:cs="宋体"/>
                <w:sz w:val="21"/>
                <w:szCs w:val="21"/>
                <w:u w:val="none"/>
              </w:rPr>
              <w:t>432</w:t>
            </w:r>
          </w:p>
        </w:tc>
        <w:tc>
          <w:tcPr>
            <w:tcW w:w="715"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893"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715"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894"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1430" w:type="dxa"/>
            <w:vMerge w:val="continue"/>
            <w:tcBorders>
              <w:left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r>
      <w:tr>
        <w:tblPrEx>
          <w:tblCellMar>
            <w:top w:w="0" w:type="dxa"/>
            <w:left w:w="0" w:type="dxa"/>
            <w:bottom w:w="0" w:type="dxa"/>
            <w:right w:w="0" w:type="dxa"/>
          </w:tblCellMar>
        </w:tblPrEx>
        <w:trPr>
          <w:cantSplit/>
          <w:trHeight w:val="445" w:hRule="atLeast"/>
        </w:trPr>
        <w:tc>
          <w:tcPr>
            <w:tcW w:w="1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0" w:firstLineChars="0"/>
              <w:rPr>
                <w:rFonts w:hint="eastAsia" w:ascii="仿宋" w:hAnsi="仿宋" w:eastAsia="仿宋" w:cs="宋体"/>
                <w:sz w:val="21"/>
                <w:szCs w:val="21"/>
                <w:u w:val="none"/>
              </w:rPr>
            </w:pPr>
            <w:r>
              <w:rPr>
                <w:rFonts w:hint="eastAsia" w:ascii="仿宋" w:hAnsi="仿宋" w:eastAsia="仿宋" w:cs="宋体"/>
                <w:sz w:val="21"/>
                <w:szCs w:val="21"/>
                <w:u w:val="none"/>
              </w:rPr>
              <w:t>专业拓展（实践）课</w:t>
            </w: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0" w:firstLineChars="0"/>
              <w:rPr>
                <w:rFonts w:ascii="仿宋" w:hAnsi="仿宋" w:eastAsia="仿宋" w:cs="宋体"/>
                <w:sz w:val="21"/>
                <w:szCs w:val="21"/>
                <w:u w:val="none"/>
              </w:rPr>
            </w:pPr>
            <w:r>
              <w:rPr>
                <w:rFonts w:hint="eastAsia" w:ascii="仿宋" w:hAnsi="仿宋" w:eastAsia="仿宋" w:cs="宋体"/>
                <w:sz w:val="21"/>
                <w:szCs w:val="21"/>
                <w:u w:val="none"/>
              </w:rPr>
              <w:t>148</w:t>
            </w:r>
            <w:r>
              <w:rPr>
                <w:rFonts w:ascii="仿宋" w:hAnsi="仿宋" w:eastAsia="仿宋" w:cs="宋体"/>
                <w:sz w:val="21"/>
                <w:szCs w:val="21"/>
                <w:u w:val="none"/>
              </w:rPr>
              <w:t>/</w:t>
            </w:r>
            <w:r>
              <w:rPr>
                <w:rFonts w:hint="eastAsia" w:ascii="仿宋" w:hAnsi="仿宋" w:eastAsia="仿宋" w:cs="宋体"/>
                <w:sz w:val="21"/>
                <w:szCs w:val="21"/>
                <w:u w:val="none"/>
              </w:rPr>
              <w:t>698</w:t>
            </w:r>
            <w:r>
              <w:rPr>
                <w:rFonts w:ascii="仿宋" w:hAnsi="仿宋" w:eastAsia="仿宋" w:cs="宋体"/>
                <w:sz w:val="21"/>
                <w:szCs w:val="21"/>
                <w:u w:val="none"/>
              </w:rPr>
              <w:t>/</w:t>
            </w:r>
            <w:r>
              <w:rPr>
                <w:rFonts w:hint="eastAsia" w:ascii="仿宋" w:hAnsi="仿宋" w:eastAsia="仿宋" w:cs="宋体"/>
                <w:sz w:val="21"/>
                <w:szCs w:val="21"/>
                <w:u w:val="none"/>
              </w:rPr>
              <w:t>846</w:t>
            </w:r>
          </w:p>
        </w:tc>
        <w:tc>
          <w:tcPr>
            <w:tcW w:w="715"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893"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715"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894"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c>
          <w:tcPr>
            <w:tcW w:w="1430"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仿宋" w:hAnsi="仿宋" w:eastAsia="仿宋" w:cs="宋体"/>
                <w:sz w:val="21"/>
                <w:szCs w:val="21"/>
                <w:u w:val="none"/>
              </w:rPr>
            </w:pPr>
          </w:p>
        </w:tc>
      </w:tr>
      <w:tr>
        <w:tblPrEx>
          <w:tblCellMar>
            <w:top w:w="0" w:type="dxa"/>
            <w:left w:w="0" w:type="dxa"/>
            <w:bottom w:w="0" w:type="dxa"/>
            <w:right w:w="0" w:type="dxa"/>
          </w:tblCellMar>
        </w:tblPrEx>
        <w:trPr>
          <w:cantSplit/>
          <w:trHeight w:val="498" w:hRule="atLeast"/>
        </w:trPr>
        <w:tc>
          <w:tcPr>
            <w:tcW w:w="19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420"/>
              <w:jc w:val="left"/>
              <w:rPr>
                <w:rFonts w:hint="eastAsia" w:ascii="仿宋" w:hAnsi="仿宋" w:eastAsia="仿宋" w:cs="宋体"/>
                <w:sz w:val="21"/>
                <w:szCs w:val="21"/>
                <w:u w:val="none"/>
              </w:rPr>
            </w:pPr>
          </w:p>
        </w:tc>
        <w:tc>
          <w:tcPr>
            <w:tcW w:w="21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spacing w:line="360" w:lineRule="auto"/>
              <w:ind w:firstLine="420"/>
              <w:rPr>
                <w:rFonts w:ascii="仿宋" w:hAnsi="仿宋" w:eastAsia="仿宋" w:cs="宋体"/>
                <w:sz w:val="21"/>
                <w:szCs w:val="21"/>
                <w:u w:val="none"/>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仿宋" w:hAnsi="仿宋" w:eastAsia="仿宋" w:cs="宋体"/>
                <w:sz w:val="21"/>
                <w:szCs w:val="21"/>
                <w:u w:val="none"/>
                <w:lang w:val="en-US" w:eastAsia="zh-CN"/>
              </w:rPr>
            </w:pPr>
            <w:r>
              <w:rPr>
                <w:rFonts w:hint="eastAsia" w:ascii="仿宋" w:hAnsi="仿宋" w:eastAsia="仿宋" w:cs="宋体"/>
                <w:sz w:val="21"/>
                <w:szCs w:val="21"/>
                <w:u w:val="none"/>
              </w:rPr>
              <w:t>31</w:t>
            </w:r>
            <w:r>
              <w:rPr>
                <w:rFonts w:hint="eastAsia" w:ascii="仿宋" w:hAnsi="仿宋" w:eastAsia="仿宋" w:cs="宋体"/>
                <w:sz w:val="21"/>
                <w:szCs w:val="21"/>
                <w:u w:val="none"/>
                <w:lang w:val="en-US" w:eastAsia="zh-CN"/>
              </w:rPr>
              <w:t>18</w:t>
            </w:r>
          </w:p>
        </w:tc>
        <w:tc>
          <w:tcPr>
            <w:tcW w:w="89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s="宋体"/>
                <w:sz w:val="21"/>
                <w:szCs w:val="21"/>
                <w:u w:val="none"/>
              </w:rPr>
            </w:pPr>
            <w:r>
              <w:rPr>
                <w:rFonts w:hint="eastAsia" w:ascii="仿宋" w:hAnsi="仿宋" w:eastAsia="仿宋" w:cs="宋体"/>
                <w:sz w:val="21"/>
                <w:szCs w:val="21"/>
                <w:u w:val="none"/>
              </w:rPr>
              <w:t>15</w:t>
            </w:r>
            <w:r>
              <w:rPr>
                <w:rFonts w:hint="eastAsia" w:ascii="仿宋" w:hAnsi="仿宋" w:eastAsia="仿宋" w:cs="宋体"/>
                <w:sz w:val="21"/>
                <w:szCs w:val="21"/>
                <w:u w:val="none"/>
                <w:lang w:val="en-US" w:eastAsia="zh-CN"/>
              </w:rPr>
              <w:t>5</w:t>
            </w:r>
            <w:r>
              <w:rPr>
                <w:rFonts w:hint="eastAsia" w:ascii="仿宋" w:hAnsi="仿宋" w:eastAsia="仿宋" w:cs="宋体"/>
                <w:sz w:val="21"/>
                <w:szCs w:val="21"/>
                <w:u w:val="none"/>
              </w:rPr>
              <w:t>4</w:t>
            </w:r>
          </w:p>
        </w:tc>
        <w:tc>
          <w:tcPr>
            <w:tcW w:w="71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eastAsia="仿宋" w:cs="宋体"/>
                <w:sz w:val="21"/>
                <w:szCs w:val="21"/>
                <w:u w:val="none"/>
                <w:lang w:eastAsia="zh-CN"/>
              </w:rPr>
            </w:pPr>
            <w:r>
              <w:rPr>
                <w:rFonts w:hint="eastAsia" w:ascii="仿宋" w:hAnsi="仿宋" w:eastAsia="仿宋" w:cs="宋体"/>
                <w:sz w:val="21"/>
                <w:szCs w:val="21"/>
                <w:u w:val="none"/>
              </w:rPr>
              <w:t>1</w:t>
            </w:r>
            <w:r>
              <w:rPr>
                <w:rFonts w:ascii="仿宋" w:hAnsi="仿宋" w:eastAsia="仿宋" w:cs="宋体"/>
                <w:sz w:val="21"/>
                <w:szCs w:val="21"/>
                <w:u w:val="none"/>
              </w:rPr>
              <w:t>5</w:t>
            </w:r>
            <w:r>
              <w:rPr>
                <w:rFonts w:hint="eastAsia" w:ascii="仿宋" w:hAnsi="仿宋" w:eastAsia="仿宋" w:cs="宋体"/>
                <w:sz w:val="21"/>
                <w:szCs w:val="21"/>
                <w:u w:val="none"/>
              </w:rPr>
              <w:t>6</w:t>
            </w:r>
            <w:r>
              <w:rPr>
                <w:rFonts w:hint="eastAsia" w:ascii="仿宋" w:hAnsi="仿宋" w:eastAsia="仿宋" w:cs="宋体"/>
                <w:sz w:val="21"/>
                <w:szCs w:val="21"/>
                <w:u w:val="none"/>
                <w:lang w:val="en-US" w:eastAsia="zh-CN"/>
              </w:rPr>
              <w:t>4</w:t>
            </w:r>
          </w:p>
        </w:tc>
        <w:tc>
          <w:tcPr>
            <w:tcW w:w="89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s="宋体"/>
                <w:sz w:val="21"/>
                <w:szCs w:val="21"/>
                <w:u w:val="none"/>
              </w:rPr>
            </w:pPr>
            <w:r>
              <w:rPr>
                <w:rFonts w:hint="eastAsia" w:ascii="仿宋" w:hAnsi="仿宋" w:eastAsia="仿宋" w:cs="宋体"/>
                <w:sz w:val="21"/>
                <w:szCs w:val="21"/>
                <w:u w:val="none"/>
              </w:rPr>
              <w:t>31</w:t>
            </w:r>
            <w:r>
              <w:rPr>
                <w:rFonts w:hint="eastAsia" w:ascii="仿宋" w:hAnsi="仿宋" w:eastAsia="仿宋" w:cs="宋体"/>
                <w:sz w:val="21"/>
                <w:szCs w:val="21"/>
                <w:u w:val="none"/>
                <w:lang w:val="en-US" w:eastAsia="zh-CN"/>
              </w:rPr>
              <w:t>18</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仿宋" w:hAnsi="仿宋" w:eastAsia="仿宋" w:cs="宋体"/>
                <w:sz w:val="21"/>
                <w:szCs w:val="21"/>
                <w:u w:val="none"/>
                <w:lang w:val="en-US"/>
              </w:rPr>
            </w:pPr>
            <w:r>
              <w:rPr>
                <w:rFonts w:ascii="仿宋" w:hAnsi="仿宋" w:eastAsia="仿宋" w:cs="宋体"/>
                <w:sz w:val="21"/>
                <w:szCs w:val="21"/>
              </w:rPr>
              <w:t>4</w:t>
            </w:r>
            <w:r>
              <w:rPr>
                <w:rFonts w:hint="eastAsia" w:ascii="仿宋" w:hAnsi="仿宋" w:eastAsia="仿宋" w:cs="宋体"/>
                <w:sz w:val="21"/>
                <w:szCs w:val="21"/>
              </w:rPr>
              <w:t>9.</w:t>
            </w:r>
            <w:r>
              <w:rPr>
                <w:rFonts w:hint="eastAsia" w:ascii="仿宋" w:hAnsi="仿宋" w:eastAsia="仿宋" w:cs="宋体"/>
                <w:sz w:val="21"/>
                <w:szCs w:val="21"/>
                <w:lang w:val="en-US" w:eastAsia="zh-CN"/>
              </w:rPr>
              <w:t>83</w:t>
            </w:r>
            <w:r>
              <w:rPr>
                <w:rFonts w:ascii="仿宋" w:hAnsi="仿宋" w:eastAsia="仿宋" w:cs="宋体"/>
                <w:sz w:val="21"/>
                <w:szCs w:val="21"/>
              </w:rPr>
              <w:t>:5</w:t>
            </w:r>
            <w:r>
              <w:rPr>
                <w:rFonts w:hint="eastAsia" w:ascii="仿宋" w:hAnsi="仿宋" w:eastAsia="仿宋" w:cs="宋体"/>
                <w:sz w:val="21"/>
                <w:szCs w:val="21"/>
              </w:rPr>
              <w:t>0.</w:t>
            </w:r>
            <w:r>
              <w:rPr>
                <w:rFonts w:hint="eastAsia" w:ascii="仿宋" w:hAnsi="仿宋" w:eastAsia="仿宋" w:cs="宋体"/>
                <w:sz w:val="21"/>
                <w:szCs w:val="21"/>
                <w:lang w:val="en-US" w:eastAsia="zh-CN"/>
              </w:rPr>
              <w:t>16</w:t>
            </w:r>
          </w:p>
        </w:tc>
      </w:tr>
    </w:tbl>
    <w:p>
      <w:pPr>
        <w:ind w:firstLine="361" w:firstLineChars="150"/>
        <w:outlineLvl w:val="1"/>
        <w:rPr>
          <w:rFonts w:hint="eastAsia" w:ascii="黑体" w:eastAsia="黑体"/>
          <w:b/>
          <w:bCs/>
          <w:kern w:val="0"/>
          <w:szCs w:val="20"/>
          <w:u w:val="none"/>
        </w:rPr>
      </w:pPr>
      <w:r>
        <w:rPr>
          <w:rFonts w:hint="eastAsia" w:ascii="黑体" w:eastAsia="黑体"/>
          <w:b/>
          <w:bCs/>
          <w:kern w:val="0"/>
          <w:szCs w:val="20"/>
          <w:u w:val="none"/>
        </w:rPr>
        <w:t>（四）考核方式</w:t>
      </w:r>
      <w:bookmarkEnd w:id="259"/>
      <w:bookmarkEnd w:id="260"/>
      <w:bookmarkEnd w:id="261"/>
      <w:bookmarkEnd w:id="262"/>
      <w:bookmarkEnd w:id="263"/>
      <w:bookmarkEnd w:id="264"/>
    </w:p>
    <w:p>
      <w:pPr>
        <w:pStyle w:val="33"/>
        <w:ind w:firstLineChars="0"/>
        <w:rPr>
          <w:sz w:val="24"/>
          <w:szCs w:val="24"/>
          <w:u w:val="none"/>
        </w:rPr>
      </w:pPr>
      <w:r>
        <w:rPr>
          <w:sz w:val="24"/>
          <w:szCs w:val="24"/>
          <w:u w:val="none"/>
        </w:rPr>
        <w:t>1.</w:t>
      </w:r>
      <w:r>
        <w:rPr>
          <w:rFonts w:hint="eastAsia"/>
          <w:sz w:val="24"/>
          <w:szCs w:val="24"/>
          <w:u w:val="none"/>
        </w:rPr>
        <w:t>考核可以根据不同课程的特点和要求采取笔试、口试、实操、作品展示、成果汇报等多种方式进行考核；</w:t>
      </w:r>
    </w:p>
    <w:p>
      <w:pPr>
        <w:pStyle w:val="33"/>
        <w:ind w:firstLineChars="0"/>
        <w:rPr>
          <w:sz w:val="24"/>
          <w:szCs w:val="24"/>
          <w:u w:val="none"/>
        </w:rPr>
      </w:pPr>
      <w:r>
        <w:rPr>
          <w:sz w:val="24"/>
          <w:szCs w:val="24"/>
          <w:u w:val="none"/>
        </w:rPr>
        <w:t>2.</w:t>
      </w:r>
      <w:r>
        <w:rPr>
          <w:rFonts w:hint="eastAsia"/>
          <w:sz w:val="24"/>
          <w:szCs w:val="24"/>
          <w:u w:val="none"/>
        </w:rPr>
        <w:t>考核要以能力考核为核心，综合考核专业知识、专业技能、方法能力、职业素质、团队合作等方面；</w:t>
      </w:r>
    </w:p>
    <w:p>
      <w:pPr>
        <w:pStyle w:val="33"/>
        <w:ind w:firstLineChars="0"/>
        <w:rPr>
          <w:rFonts w:hint="eastAsia"/>
          <w:sz w:val="24"/>
          <w:szCs w:val="24"/>
          <w:u w:val="none"/>
        </w:rPr>
      </w:pPr>
      <w:r>
        <w:rPr>
          <w:sz w:val="24"/>
          <w:szCs w:val="24"/>
          <w:u w:val="none"/>
        </w:rPr>
        <w:t>3.</w:t>
      </w:r>
      <w:r>
        <w:rPr>
          <w:rFonts w:hint="eastAsia"/>
          <w:sz w:val="24"/>
          <w:szCs w:val="24"/>
          <w:u w:val="none"/>
        </w:rPr>
        <w:t>根据学生工作、学习的实际情况，可由任课教师申请、经系部、教务处等部门同意之后选择非闭卷考试形式进行考核。</w:t>
      </w:r>
    </w:p>
    <w:p>
      <w:pPr>
        <w:ind w:firstLine="482"/>
        <w:outlineLvl w:val="1"/>
        <w:rPr>
          <w:rFonts w:hint="eastAsia" w:ascii="黑体" w:eastAsia="黑体"/>
          <w:b/>
          <w:bCs/>
          <w:kern w:val="0"/>
          <w:szCs w:val="20"/>
          <w:u w:val="none"/>
        </w:rPr>
      </w:pPr>
      <w:bookmarkStart w:id="265" w:name="_Toc958"/>
      <w:bookmarkStart w:id="266" w:name="_Toc20486"/>
      <w:bookmarkStart w:id="267" w:name="_Toc7997"/>
      <w:bookmarkStart w:id="268" w:name="_Toc17242"/>
      <w:bookmarkStart w:id="269" w:name="_Toc27051"/>
      <w:bookmarkStart w:id="270" w:name="_Toc20690"/>
      <w:r>
        <w:rPr>
          <w:rFonts w:hint="eastAsia" w:ascii="黑体" w:eastAsia="黑体"/>
          <w:b/>
          <w:bCs/>
          <w:kern w:val="0"/>
          <w:szCs w:val="20"/>
          <w:u w:val="none"/>
        </w:rPr>
        <w:t>（五）认识实习、项目实训、</w:t>
      </w:r>
      <w:r>
        <w:rPr>
          <w:rFonts w:hint="eastAsia" w:ascii="黑体" w:eastAsia="黑体"/>
          <w:b/>
          <w:bCs/>
          <w:kern w:val="0"/>
          <w:szCs w:val="20"/>
          <w:u w:val="none"/>
          <w:lang w:eastAsia="zh-CN"/>
        </w:rPr>
        <w:t>岗位</w:t>
      </w:r>
      <w:r>
        <w:rPr>
          <w:rFonts w:hint="eastAsia" w:ascii="黑体" w:eastAsia="黑体"/>
          <w:b/>
          <w:bCs/>
          <w:kern w:val="0"/>
          <w:szCs w:val="20"/>
          <w:u w:val="none"/>
        </w:rPr>
        <w:t>实习</w:t>
      </w:r>
      <w:bookmarkEnd w:id="265"/>
      <w:bookmarkEnd w:id="266"/>
      <w:bookmarkEnd w:id="267"/>
      <w:bookmarkEnd w:id="268"/>
      <w:bookmarkEnd w:id="269"/>
      <w:bookmarkEnd w:id="270"/>
    </w:p>
    <w:p>
      <w:pPr>
        <w:ind w:firstLine="482"/>
        <w:outlineLvl w:val="2"/>
        <w:rPr>
          <w:rFonts w:hint="eastAsia" w:ascii="楷体" w:hAnsi="楷体" w:eastAsia="楷体" w:cs="楷体"/>
          <w:b/>
          <w:bCs/>
          <w:szCs w:val="24"/>
          <w:u w:val="none"/>
        </w:rPr>
      </w:pPr>
      <w:bookmarkStart w:id="271" w:name="_Toc22685"/>
      <w:bookmarkStart w:id="272" w:name="_Toc9135"/>
      <w:r>
        <w:rPr>
          <w:rFonts w:hint="eastAsia" w:ascii="楷体" w:hAnsi="楷体" w:eastAsia="楷体" w:cs="楷体"/>
          <w:b/>
          <w:bCs/>
          <w:szCs w:val="24"/>
          <w:u w:val="none"/>
        </w:rPr>
        <w:t>1</w:t>
      </w:r>
      <w:r>
        <w:rPr>
          <w:rFonts w:ascii="楷体" w:hAnsi="楷体" w:eastAsia="楷体" w:cs="楷体"/>
          <w:b/>
          <w:bCs/>
          <w:szCs w:val="24"/>
          <w:u w:val="none"/>
        </w:rPr>
        <w:t>.</w:t>
      </w:r>
      <w:r>
        <w:rPr>
          <w:rFonts w:hint="eastAsia" w:ascii="楷体" w:hAnsi="楷体" w:eastAsia="楷体" w:cs="楷体"/>
          <w:b/>
          <w:bCs/>
          <w:szCs w:val="24"/>
          <w:u w:val="none"/>
        </w:rPr>
        <w:t>认识实习</w:t>
      </w:r>
      <w:bookmarkEnd w:id="271"/>
      <w:bookmarkEnd w:id="272"/>
    </w:p>
    <w:p>
      <w:pPr>
        <w:ind w:firstLine="480"/>
        <w:rPr>
          <w:rFonts w:hint="eastAsia"/>
          <w:u w:val="none"/>
        </w:rPr>
      </w:pPr>
      <w:bookmarkStart w:id="273" w:name="_Toc31200"/>
      <w:r>
        <w:rPr>
          <w:rFonts w:hint="eastAsia"/>
          <w:u w:val="none"/>
        </w:rPr>
        <w:t>认识实习是教学中一个很重要的组成部分，它是针对所学专业进行的调研实习活动，通过参观建筑实体、施工现场参观、建筑模型观察，提高学生的感性认识，加深对课堂所学内容的理解，把课堂的理论知识和工程实践相结合。</w:t>
      </w:r>
    </w:p>
    <w:bookmarkEnd w:id="273"/>
    <w:p>
      <w:pPr>
        <w:ind w:firstLine="482"/>
        <w:outlineLvl w:val="2"/>
        <w:rPr>
          <w:rFonts w:hint="eastAsia" w:ascii="楷体" w:hAnsi="楷体" w:eastAsia="楷体" w:cs="楷体"/>
          <w:b/>
          <w:bCs/>
          <w:szCs w:val="24"/>
          <w:u w:val="none"/>
        </w:rPr>
      </w:pPr>
      <w:bookmarkStart w:id="274" w:name="_Toc27655"/>
      <w:bookmarkStart w:id="275" w:name="_Toc16238"/>
      <w:r>
        <w:rPr>
          <w:rFonts w:hint="eastAsia" w:ascii="楷体" w:hAnsi="楷体" w:eastAsia="楷体" w:cs="楷体"/>
          <w:b/>
          <w:bCs/>
          <w:szCs w:val="24"/>
          <w:u w:val="none"/>
        </w:rPr>
        <w:t>2.项目实训</w:t>
      </w:r>
      <w:bookmarkEnd w:id="274"/>
    </w:p>
    <w:p>
      <w:pPr>
        <w:pStyle w:val="36"/>
        <w:ind w:firstLine="480"/>
        <w:rPr>
          <w:u w:val="none"/>
        </w:rPr>
      </w:pPr>
      <w:r>
        <w:rPr>
          <w:u w:val="none"/>
        </w:rPr>
        <w:t>（1）建设项目决策咨询模拟实训，掌握工程经济的基本理论和建设项目开发程序及相关法规；</w:t>
      </w:r>
    </w:p>
    <w:p>
      <w:pPr>
        <w:pStyle w:val="36"/>
        <w:ind w:firstLine="480"/>
        <w:rPr>
          <w:u w:val="none"/>
        </w:rPr>
      </w:pPr>
      <w:r>
        <w:rPr>
          <w:u w:val="none"/>
        </w:rPr>
        <w:t>（</w:t>
      </w:r>
      <w:r>
        <w:rPr>
          <w:rFonts w:hint="eastAsia"/>
          <w:u w:val="none"/>
        </w:rPr>
        <w:t>2</w:t>
      </w:r>
      <w:r>
        <w:rPr>
          <w:u w:val="none"/>
        </w:rPr>
        <w:t>）建设项目造价管理模拟实训，通过编制工程量清单，掌握基于工程量清单计价的计量与计价基本</w:t>
      </w:r>
      <w:r>
        <w:rPr>
          <w:rFonts w:hint="eastAsia"/>
          <w:u w:val="none"/>
        </w:rPr>
        <w:t>技能</w:t>
      </w:r>
      <w:r>
        <w:rPr>
          <w:u w:val="none"/>
        </w:rPr>
        <w:t>；</w:t>
      </w:r>
    </w:p>
    <w:p>
      <w:pPr>
        <w:pStyle w:val="36"/>
        <w:ind w:firstLine="480"/>
        <w:rPr>
          <w:rFonts w:hint="eastAsia"/>
          <w:u w:val="none"/>
        </w:rPr>
      </w:pPr>
      <w:r>
        <w:rPr>
          <w:u w:val="none"/>
        </w:rPr>
        <w:t>（</w:t>
      </w:r>
      <w:r>
        <w:rPr>
          <w:rFonts w:hint="eastAsia"/>
          <w:u w:val="none"/>
        </w:rPr>
        <w:t>3</w:t>
      </w:r>
      <w:r>
        <w:rPr>
          <w:u w:val="none"/>
        </w:rPr>
        <w:t>）建设项目施工管理模拟实训，通过编制施工项目组织设计、项目管理规划等施工组织文件，掌握建设工程施工项目管理基本</w:t>
      </w:r>
      <w:r>
        <w:rPr>
          <w:rFonts w:hint="eastAsia"/>
          <w:u w:val="none"/>
        </w:rPr>
        <w:t>技能</w:t>
      </w:r>
      <w:r>
        <w:rPr>
          <w:u w:val="none"/>
        </w:rPr>
        <w:t>；</w:t>
      </w:r>
    </w:p>
    <w:p>
      <w:pPr>
        <w:pStyle w:val="36"/>
        <w:ind w:firstLine="480"/>
        <w:rPr>
          <w:u w:val="none"/>
        </w:rPr>
      </w:pPr>
      <w:r>
        <w:rPr>
          <w:rFonts w:hint="eastAsia"/>
          <w:u w:val="none"/>
        </w:rPr>
        <w:t>（4）</w:t>
      </w:r>
      <w:r>
        <w:rPr>
          <w:u w:val="none"/>
        </w:rPr>
        <w:t>建设项目</w:t>
      </w:r>
      <w:r>
        <w:rPr>
          <w:rFonts w:hint="eastAsia"/>
          <w:u w:val="none"/>
        </w:rPr>
        <w:t>投资审计</w:t>
      </w:r>
      <w:r>
        <w:rPr>
          <w:u w:val="none"/>
        </w:rPr>
        <w:t>模拟实训，通过编制</w:t>
      </w:r>
      <w:r>
        <w:rPr>
          <w:rFonts w:hint="eastAsia"/>
          <w:u w:val="none"/>
        </w:rPr>
        <w:t>投资审计实施方案</w:t>
      </w:r>
      <w:r>
        <w:rPr>
          <w:u w:val="none"/>
        </w:rPr>
        <w:t>、</w:t>
      </w:r>
      <w:r>
        <w:rPr>
          <w:rFonts w:hint="eastAsia"/>
          <w:u w:val="none"/>
        </w:rPr>
        <w:t>开展竣工决算审计、造价审计、项目管理审计等</w:t>
      </w:r>
      <w:r>
        <w:rPr>
          <w:u w:val="none"/>
        </w:rPr>
        <w:t>，掌握建设工程</w:t>
      </w:r>
      <w:r>
        <w:rPr>
          <w:rFonts w:hint="eastAsia"/>
          <w:u w:val="none"/>
        </w:rPr>
        <w:t>投资审计</w:t>
      </w:r>
      <w:r>
        <w:rPr>
          <w:u w:val="none"/>
        </w:rPr>
        <w:t>基本</w:t>
      </w:r>
      <w:r>
        <w:rPr>
          <w:rFonts w:hint="eastAsia"/>
          <w:u w:val="none"/>
        </w:rPr>
        <w:t>技能，能独立撰写审计报告。</w:t>
      </w:r>
    </w:p>
    <w:p>
      <w:pPr>
        <w:ind w:firstLine="482"/>
        <w:outlineLvl w:val="2"/>
        <w:rPr>
          <w:rFonts w:ascii="楷体" w:hAnsi="楷体" w:eastAsia="楷体" w:cs="楷体"/>
          <w:b/>
          <w:bCs/>
          <w:szCs w:val="24"/>
          <w:u w:val="none"/>
        </w:rPr>
      </w:pPr>
      <w:bookmarkStart w:id="276" w:name="_Toc31578"/>
      <w:r>
        <w:rPr>
          <w:rFonts w:hint="eastAsia" w:ascii="楷体" w:hAnsi="楷体" w:eastAsia="楷体" w:cs="楷体"/>
          <w:b/>
          <w:bCs/>
          <w:szCs w:val="24"/>
          <w:u w:val="none"/>
        </w:rPr>
        <w:t>3</w:t>
      </w:r>
      <w:r>
        <w:rPr>
          <w:rFonts w:ascii="楷体" w:hAnsi="楷体" w:eastAsia="楷体" w:cs="楷体"/>
          <w:b/>
          <w:bCs/>
          <w:szCs w:val="24"/>
          <w:u w:val="none"/>
        </w:rPr>
        <w:t>.</w:t>
      </w:r>
      <w:r>
        <w:rPr>
          <w:rFonts w:hint="eastAsia" w:ascii="楷体" w:hAnsi="楷体" w:eastAsia="楷体" w:cs="楷体"/>
          <w:b/>
          <w:bCs/>
          <w:szCs w:val="24"/>
          <w:u w:val="none"/>
          <w:lang w:eastAsia="zh-CN"/>
        </w:rPr>
        <w:t>岗位</w:t>
      </w:r>
      <w:r>
        <w:rPr>
          <w:rFonts w:hint="eastAsia" w:ascii="楷体" w:hAnsi="楷体" w:eastAsia="楷体" w:cs="楷体"/>
          <w:b/>
          <w:bCs/>
          <w:szCs w:val="24"/>
          <w:u w:val="none"/>
        </w:rPr>
        <w:t>实习</w:t>
      </w:r>
      <w:bookmarkEnd w:id="275"/>
      <w:bookmarkEnd w:id="276"/>
    </w:p>
    <w:p>
      <w:pPr>
        <w:ind w:firstLine="480"/>
        <w:rPr>
          <w:rFonts w:hint="eastAsia" w:ascii="宋体" w:hAnsi="宋体"/>
          <w:szCs w:val="24"/>
          <w:u w:val="none"/>
        </w:rPr>
      </w:pPr>
      <w:r>
        <w:rPr>
          <w:rFonts w:hint="eastAsia" w:ascii="宋体" w:hAnsi="宋体"/>
          <w:szCs w:val="24"/>
          <w:u w:val="none"/>
        </w:rPr>
        <w:t>本专业学生</w:t>
      </w:r>
      <w:r>
        <w:rPr>
          <w:rFonts w:hint="eastAsia" w:ascii="宋体" w:hAnsi="宋体"/>
          <w:szCs w:val="24"/>
          <w:u w:val="none"/>
          <w:lang w:eastAsia="zh-CN"/>
        </w:rPr>
        <w:t>岗位</w:t>
      </w:r>
      <w:r>
        <w:rPr>
          <w:rFonts w:hint="eastAsia" w:ascii="宋体" w:hAnsi="宋体"/>
          <w:szCs w:val="24"/>
          <w:u w:val="none"/>
        </w:rPr>
        <w:t>实习安排在第六学期，时间原则上不超过6个月。学生</w:t>
      </w:r>
      <w:r>
        <w:rPr>
          <w:rFonts w:hint="eastAsia" w:ascii="宋体" w:hAnsi="宋体"/>
          <w:szCs w:val="24"/>
          <w:u w:val="none"/>
          <w:lang w:eastAsia="zh-CN"/>
        </w:rPr>
        <w:t>岗位</w:t>
      </w:r>
      <w:r>
        <w:rPr>
          <w:rFonts w:hint="eastAsia" w:ascii="宋体" w:hAnsi="宋体"/>
          <w:szCs w:val="24"/>
          <w:u w:val="none"/>
        </w:rPr>
        <w:t>实习是全面贯彻党教育方针，遵循学生成长规律和职业能力形成规律，培养学生的职业道德、职业技能，促进学生全面发展，提高教育教学质量的重要环节。</w:t>
      </w:r>
    </w:p>
    <w:p>
      <w:pPr>
        <w:ind w:firstLine="480"/>
        <w:rPr>
          <w:rFonts w:hint="eastAsia" w:ascii="宋体" w:hAnsi="宋体"/>
          <w:szCs w:val="24"/>
          <w:u w:val="none"/>
        </w:rPr>
      </w:pPr>
      <w:r>
        <w:rPr>
          <w:rFonts w:hint="eastAsia" w:ascii="宋体" w:hAnsi="宋体"/>
          <w:szCs w:val="24"/>
          <w:u w:val="none"/>
        </w:rPr>
        <w:t>建筑经济信息化管理专业的</w:t>
      </w:r>
      <w:r>
        <w:rPr>
          <w:rFonts w:hint="eastAsia" w:ascii="宋体" w:hAnsi="宋体"/>
          <w:szCs w:val="24"/>
          <w:u w:val="none"/>
          <w:lang w:eastAsia="zh-CN"/>
        </w:rPr>
        <w:t>岗位</w:t>
      </w:r>
      <w:r>
        <w:rPr>
          <w:rFonts w:hint="eastAsia" w:ascii="宋体" w:hAnsi="宋体"/>
          <w:szCs w:val="24"/>
          <w:u w:val="none"/>
        </w:rPr>
        <w:t>实习是对学生的综合训练，以培养学生独立收集资料，综合运用所学理论知识和技能解决实际问题的能力。</w:t>
      </w:r>
      <w:r>
        <w:rPr>
          <w:rFonts w:hint="eastAsia" w:ascii="宋体" w:hAnsi="宋体"/>
          <w:szCs w:val="24"/>
          <w:u w:val="none"/>
          <w:lang w:eastAsia="zh-CN"/>
        </w:rPr>
        <w:t>岗位</w:t>
      </w:r>
      <w:r>
        <w:rPr>
          <w:rFonts w:hint="eastAsia" w:ascii="宋体" w:hAnsi="宋体"/>
          <w:szCs w:val="24"/>
          <w:u w:val="none"/>
        </w:rPr>
        <w:t>实习与毕业设计选题涉及项目决策咨询、工程造价、招投标、投资审计等文件编制及资料整理，旨在培养岗位技能。选题结合工程实践，内容涉及技术、经济、法律、管理，应力求选择与生产、管理、科研和试验相结合的课题。学生到实习单位相应实习岗位，相对独立参与实际工作，对培养和提升学生的职业素质、实践能力和创新精神具有重要意义。</w:t>
      </w:r>
    </w:p>
    <w:p>
      <w:pPr>
        <w:pStyle w:val="4"/>
        <w:spacing w:before="156" w:beforeLines="50"/>
        <w:ind w:firstLine="482"/>
        <w:rPr>
          <w:rFonts w:hint="eastAsia"/>
          <w:u w:val="none"/>
        </w:rPr>
      </w:pPr>
      <w:r>
        <w:rPr>
          <w:rFonts w:hint="eastAsia" w:ascii="黑体"/>
          <w:bCs/>
          <w:kern w:val="0"/>
          <w:szCs w:val="20"/>
          <w:u w:val="none"/>
        </w:rPr>
        <w:br w:type="page"/>
      </w:r>
      <w:bookmarkStart w:id="277" w:name="_Toc18105"/>
      <w:bookmarkStart w:id="278" w:name="_Toc11314"/>
      <w:bookmarkStart w:id="279" w:name="_Toc417"/>
      <w:bookmarkStart w:id="280" w:name="_Toc12198"/>
      <w:bookmarkStart w:id="281" w:name="_Toc21210"/>
      <w:r>
        <w:rPr>
          <w:rFonts w:hint="eastAsia" w:ascii="黑体"/>
          <w:bCs/>
          <w:kern w:val="0"/>
          <w:szCs w:val="20"/>
          <w:u w:val="none"/>
        </w:rPr>
        <w:t>（六）专业</w:t>
      </w:r>
      <w:r>
        <w:rPr>
          <w:rFonts w:hint="eastAsia"/>
          <w:u w:val="none"/>
        </w:rPr>
        <w:t>核心课程简介</w:t>
      </w:r>
      <w:bookmarkEnd w:id="277"/>
      <w:bookmarkEnd w:id="278"/>
      <w:bookmarkEnd w:id="279"/>
      <w:bookmarkEnd w:id="280"/>
      <w:bookmarkEnd w:id="281"/>
    </w:p>
    <w:p>
      <w:pPr>
        <w:ind w:firstLine="480"/>
        <w:rPr>
          <w:rFonts w:ascii="宋体"/>
          <w:szCs w:val="24"/>
          <w:u w:val="none"/>
        </w:rPr>
      </w:pPr>
      <w:r>
        <w:rPr>
          <w:rFonts w:hint="eastAsia" w:ascii="宋体" w:hAnsi="宋体"/>
          <w:szCs w:val="24"/>
          <w:u w:val="none"/>
          <w:lang w:val="en-US" w:eastAsia="zh-CN"/>
        </w:rPr>
        <w:t>1.</w:t>
      </w:r>
      <w:r>
        <w:rPr>
          <w:rFonts w:hint="eastAsia" w:ascii="宋体" w:hAnsi="宋体" w:cs="Arial Unicode MS"/>
          <w:szCs w:val="24"/>
          <w:u w:val="none"/>
        </w:rPr>
        <w:t>混凝土结构施工图平法识图</w:t>
      </w:r>
    </w:p>
    <w:tbl>
      <w:tblPr>
        <w:tblStyle w:val="18"/>
        <w:tblW w:w="5035" w:type="pct"/>
        <w:tblInd w:w="0" w:type="dxa"/>
        <w:tblLayout w:type="fixed"/>
        <w:tblCellMar>
          <w:top w:w="0" w:type="dxa"/>
          <w:left w:w="108" w:type="dxa"/>
          <w:bottom w:w="0" w:type="dxa"/>
          <w:right w:w="108" w:type="dxa"/>
        </w:tblCellMar>
      </w:tblPr>
      <w:tblGrid>
        <w:gridCol w:w="1293"/>
        <w:gridCol w:w="1399"/>
        <w:gridCol w:w="947"/>
        <w:gridCol w:w="1177"/>
        <w:gridCol w:w="1177"/>
        <w:gridCol w:w="782"/>
        <w:gridCol w:w="1568"/>
        <w:gridCol w:w="1001"/>
        <w:gridCol w:w="9"/>
      </w:tblGrid>
      <w:tr>
        <w:tblPrEx>
          <w:tblCellMar>
            <w:top w:w="0" w:type="dxa"/>
            <w:left w:w="108" w:type="dxa"/>
            <w:bottom w:w="0" w:type="dxa"/>
            <w:right w:w="108" w:type="dxa"/>
          </w:tblCellMar>
        </w:tblPrEx>
        <w:trPr>
          <w:trHeight w:val="720" w:hRule="atLeast"/>
        </w:trPr>
        <w:tc>
          <w:tcPr>
            <w:tcW w:w="1439"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ascii="宋体" w:hAnsi="宋体" w:cs="Arial Unicode MS"/>
                <w:sz w:val="18"/>
                <w:szCs w:val="21"/>
                <w:u w:val="none"/>
              </w:rPr>
            </w:pPr>
            <w:r>
              <w:rPr>
                <w:rFonts w:hint="eastAsia" w:ascii="黑体" w:hAnsi="黑体" w:eastAsia="黑体" w:cs="黑体"/>
                <w:b/>
                <w:bCs/>
                <w:sz w:val="21"/>
                <w:szCs w:val="21"/>
                <w:u w:val="none"/>
              </w:rPr>
              <w:t>课程名称</w:t>
            </w:r>
          </w:p>
        </w:tc>
        <w:tc>
          <w:tcPr>
            <w:tcW w:w="3560"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ascii="宋体" w:hAnsi="宋体" w:cs="Arial Unicode MS"/>
                <w:sz w:val="18"/>
                <w:szCs w:val="21"/>
                <w:u w:val="none"/>
              </w:rPr>
            </w:pPr>
            <w:r>
              <w:rPr>
                <w:rFonts w:hint="eastAsia" w:ascii="黑体" w:hAnsi="黑体" w:eastAsia="黑体" w:cs="黑体"/>
                <w:b/>
                <w:bCs/>
                <w:sz w:val="21"/>
                <w:szCs w:val="21"/>
                <w:u w:val="none"/>
              </w:rPr>
              <w:t>混凝土结构施工图平法识图</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lang w:eastAsia="zh-CN"/>
              </w:rPr>
            </w:pPr>
            <w:r>
              <w:rPr>
                <w:rFonts w:hint="eastAsia" w:ascii="仿宋" w:hAnsi="仿宋" w:eastAsia="仿宋" w:cs="仿宋"/>
                <w:b/>
                <w:bCs/>
                <w:sz w:val="21"/>
                <w:szCs w:val="21"/>
                <w:u w:val="none"/>
                <w:lang w:eastAsia="zh-CN"/>
              </w:rPr>
              <w:t>实施学期</w:t>
            </w:r>
          </w:p>
        </w:tc>
        <w:tc>
          <w:tcPr>
            <w:tcW w:w="74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第二学期</w:t>
            </w:r>
          </w:p>
        </w:tc>
        <w:tc>
          <w:tcPr>
            <w:tcW w:w="50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总学时</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kern w:val="0"/>
                <w:sz w:val="21"/>
                <w:szCs w:val="21"/>
                <w:u w:val="none"/>
              </w:rPr>
              <w:t>72</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讲授学时</w:t>
            </w:r>
          </w:p>
        </w:tc>
        <w:tc>
          <w:tcPr>
            <w:tcW w:w="41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36</w:t>
            </w:r>
          </w:p>
        </w:tc>
        <w:tc>
          <w:tcPr>
            <w:tcW w:w="83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实训学时</w:t>
            </w:r>
          </w:p>
        </w:tc>
        <w:tc>
          <w:tcPr>
            <w:tcW w:w="53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36</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教学组织</w:t>
            </w:r>
          </w:p>
        </w:tc>
        <w:tc>
          <w:tcPr>
            <w:tcW w:w="4303"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lang w:eastAsia="zh-CN"/>
              </w:rPr>
            </w:pPr>
            <w:r>
              <w:rPr>
                <w:rFonts w:hint="eastAsia" w:ascii="仿宋" w:hAnsi="仿宋" w:eastAsia="仿宋" w:cs="仿宋"/>
                <w:sz w:val="21"/>
                <w:szCs w:val="21"/>
                <w:u w:val="none"/>
              </w:rPr>
              <w:t>多媒体教学</w:t>
            </w:r>
            <w:r>
              <w:rPr>
                <w:rFonts w:hint="eastAsia" w:ascii="仿宋" w:hAnsi="仿宋" w:eastAsia="仿宋" w:cs="仿宋"/>
                <w:sz w:val="21"/>
                <w:szCs w:val="21"/>
                <w:u w:val="none"/>
                <w:lang w:eastAsia="zh-CN"/>
              </w:rPr>
              <w:t>、模型认知、工程造价实训室软件操练</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学习重点</w:t>
            </w:r>
          </w:p>
        </w:tc>
        <w:tc>
          <w:tcPr>
            <w:tcW w:w="4303"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现浇混凝土结构的柱、剪力墙、梁、板、楼梯的平法制图规则和标准配筋构造等</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职业能力</w:t>
            </w:r>
          </w:p>
        </w:tc>
        <w:tc>
          <w:tcPr>
            <w:tcW w:w="4303"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通过学习，力求使学生熟练掌握平法技术，并正确理解和识读平法施工图</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主要内容</w:t>
            </w:r>
          </w:p>
        </w:tc>
        <w:tc>
          <w:tcPr>
            <w:tcW w:w="4303"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以G101、G901系列平法图集和现行相关规范为基础，对现浇混凝土结构平法施工图的识读进行了系统、全面的介绍，内容涉及现浇混凝土结构的柱、剪力墙、梁、板、楼梯的平法制图规则和标准配筋构造等，并配有典型的施工示例，内容</w:t>
            </w:r>
            <w:r>
              <w:rPr>
                <w:rFonts w:hint="eastAsia" w:ascii="仿宋" w:hAnsi="仿宋" w:eastAsia="仿宋" w:cs="仿宋"/>
                <w:sz w:val="21"/>
                <w:szCs w:val="21"/>
                <w:u w:val="none"/>
                <w:lang w:eastAsia="zh-CN"/>
              </w:rPr>
              <w:t>详</w:t>
            </w:r>
            <w:r>
              <w:rPr>
                <w:rFonts w:hint="eastAsia" w:ascii="仿宋" w:hAnsi="仿宋" w:eastAsia="仿宋" w:cs="仿宋"/>
                <w:sz w:val="21"/>
                <w:szCs w:val="21"/>
                <w:u w:val="none"/>
              </w:rPr>
              <w:t>实，针对性和可操作性强</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主讲教师及团队</w:t>
            </w:r>
          </w:p>
        </w:tc>
        <w:tc>
          <w:tcPr>
            <w:tcW w:w="74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张莉</w:t>
            </w:r>
          </w:p>
        </w:tc>
        <w:tc>
          <w:tcPr>
            <w:tcW w:w="3555" w:type="pct"/>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高洁</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朱余佳</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李茹</w:t>
            </w:r>
          </w:p>
        </w:tc>
      </w:tr>
    </w:tbl>
    <w:p>
      <w:pPr>
        <w:spacing w:before="156" w:beforeLines="50"/>
        <w:ind w:firstLine="480"/>
        <w:rPr>
          <w:rFonts w:hint="eastAsia" w:ascii="宋体"/>
          <w:szCs w:val="24"/>
          <w:u w:val="none"/>
        </w:rPr>
      </w:pPr>
      <w:r>
        <w:rPr>
          <w:rFonts w:hint="eastAsia" w:ascii="宋体" w:hAnsi="宋体"/>
          <w:szCs w:val="24"/>
          <w:u w:val="none"/>
          <w:lang w:val="en-US" w:eastAsia="zh-CN"/>
        </w:rPr>
        <w:t>2.</w:t>
      </w:r>
      <w:r>
        <w:rPr>
          <w:rFonts w:hint="eastAsia" w:ascii="宋体" w:hAnsi="宋体" w:cs="Arial Unicode MS"/>
          <w:szCs w:val="24"/>
          <w:u w:val="none"/>
        </w:rPr>
        <w:t>建筑工程计量与计价（上、下册）</w:t>
      </w:r>
    </w:p>
    <w:tbl>
      <w:tblPr>
        <w:tblStyle w:val="18"/>
        <w:tblW w:w="5035" w:type="pct"/>
        <w:tblInd w:w="0" w:type="dxa"/>
        <w:tblLayout w:type="fixed"/>
        <w:tblCellMar>
          <w:top w:w="0" w:type="dxa"/>
          <w:left w:w="108" w:type="dxa"/>
          <w:bottom w:w="0" w:type="dxa"/>
          <w:right w:w="108" w:type="dxa"/>
        </w:tblCellMar>
      </w:tblPr>
      <w:tblGrid>
        <w:gridCol w:w="1292"/>
        <w:gridCol w:w="1372"/>
        <w:gridCol w:w="13"/>
        <w:gridCol w:w="960"/>
        <w:gridCol w:w="1177"/>
        <w:gridCol w:w="1177"/>
        <w:gridCol w:w="782"/>
        <w:gridCol w:w="1568"/>
        <w:gridCol w:w="1006"/>
        <w:gridCol w:w="6"/>
      </w:tblGrid>
      <w:tr>
        <w:tblPrEx>
          <w:tblCellMar>
            <w:top w:w="0" w:type="dxa"/>
            <w:left w:w="108" w:type="dxa"/>
            <w:bottom w:w="0" w:type="dxa"/>
            <w:right w:w="108" w:type="dxa"/>
          </w:tblCellMar>
        </w:tblPrEx>
        <w:trPr>
          <w:trHeight w:val="720" w:hRule="atLeast"/>
        </w:trPr>
        <w:tc>
          <w:tcPr>
            <w:tcW w:w="1432"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ascii="宋体" w:hAnsi="宋体" w:cs="Arial Unicode MS"/>
                <w:sz w:val="18"/>
                <w:szCs w:val="21"/>
                <w:u w:val="none"/>
              </w:rPr>
            </w:pPr>
            <w:r>
              <w:rPr>
                <w:rFonts w:hint="eastAsia" w:ascii="黑体" w:hAnsi="黑体" w:eastAsia="黑体" w:cs="黑体"/>
                <w:b/>
                <w:bCs/>
                <w:sz w:val="21"/>
                <w:szCs w:val="21"/>
                <w:u w:val="none"/>
              </w:rPr>
              <w:t>课程名称</w:t>
            </w:r>
          </w:p>
        </w:tc>
        <w:tc>
          <w:tcPr>
            <w:tcW w:w="3567"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宋体" w:hAnsi="宋体" w:cs="Arial Unicode MS"/>
                <w:sz w:val="18"/>
                <w:szCs w:val="21"/>
                <w:u w:val="none"/>
              </w:rPr>
            </w:pPr>
            <w:r>
              <w:rPr>
                <w:rFonts w:hint="eastAsia" w:ascii="黑体" w:hAnsi="黑体" w:eastAsia="黑体" w:cs="黑体"/>
                <w:b/>
                <w:bCs/>
                <w:sz w:val="21"/>
                <w:szCs w:val="21"/>
                <w:u w:val="none"/>
              </w:rPr>
              <w:t>建筑工程计量与计价 （上、下册）</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lang w:eastAsia="zh-CN"/>
              </w:rPr>
            </w:pPr>
            <w:r>
              <w:rPr>
                <w:rFonts w:hint="eastAsia" w:ascii="仿宋" w:hAnsi="仿宋" w:eastAsia="仿宋" w:cs="仿宋"/>
                <w:b/>
                <w:bCs/>
                <w:sz w:val="21"/>
                <w:szCs w:val="21"/>
                <w:u w:val="none"/>
                <w:lang w:eastAsia="zh-CN"/>
              </w:rPr>
              <w:t>实施学期</w:t>
            </w:r>
          </w:p>
        </w:tc>
        <w:tc>
          <w:tcPr>
            <w:tcW w:w="73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第三、四学期</w:t>
            </w:r>
          </w:p>
        </w:tc>
        <w:tc>
          <w:tcPr>
            <w:tcW w:w="520"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总学时</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36+72</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讲授学时</w:t>
            </w:r>
          </w:p>
        </w:tc>
        <w:tc>
          <w:tcPr>
            <w:tcW w:w="41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30+60</w:t>
            </w:r>
          </w:p>
        </w:tc>
        <w:tc>
          <w:tcPr>
            <w:tcW w:w="83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实训学时</w:t>
            </w:r>
          </w:p>
        </w:tc>
        <w:tc>
          <w:tcPr>
            <w:tcW w:w="53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6+12</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lang w:eastAsia="zh-CN"/>
              </w:rPr>
            </w:pPr>
            <w:r>
              <w:rPr>
                <w:rFonts w:hint="eastAsia" w:ascii="仿宋" w:hAnsi="仿宋" w:eastAsia="仿宋" w:cs="仿宋"/>
                <w:b/>
                <w:bCs/>
                <w:sz w:val="21"/>
                <w:szCs w:val="21"/>
                <w:u w:val="none"/>
                <w:lang w:eastAsia="zh-CN"/>
              </w:rPr>
              <w:t>教学组织</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多媒体教室进行单元教学，同时配套</w:t>
            </w:r>
            <w:r>
              <w:rPr>
                <w:rFonts w:hint="eastAsia" w:ascii="仿宋" w:hAnsi="仿宋" w:eastAsia="仿宋" w:cs="仿宋"/>
                <w:sz w:val="21"/>
                <w:szCs w:val="21"/>
                <w:u w:val="none"/>
                <w:lang w:eastAsia="zh-CN"/>
              </w:rPr>
              <w:t>工程造价实训室软件实践</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lang w:eastAsia="zh-CN"/>
              </w:rPr>
            </w:pPr>
            <w:r>
              <w:rPr>
                <w:rFonts w:hint="eastAsia" w:ascii="仿宋" w:hAnsi="仿宋" w:eastAsia="仿宋" w:cs="仿宋"/>
                <w:b/>
                <w:bCs/>
                <w:sz w:val="21"/>
                <w:szCs w:val="21"/>
                <w:u w:val="none"/>
                <w:lang w:eastAsia="zh-CN"/>
              </w:rPr>
              <w:t>学习重点</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工程造价的构成、工程量的计算规则</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lang w:eastAsia="zh-CN"/>
              </w:rPr>
            </w:pPr>
            <w:r>
              <w:rPr>
                <w:rFonts w:hint="eastAsia" w:ascii="仿宋" w:hAnsi="仿宋" w:eastAsia="仿宋" w:cs="仿宋"/>
                <w:b/>
                <w:bCs/>
                <w:sz w:val="21"/>
                <w:szCs w:val="21"/>
                <w:u w:val="none"/>
                <w:lang w:eastAsia="zh-CN"/>
              </w:rPr>
              <w:t>职业能力</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使学生了解建筑工程定额与预算的基本概念和基本理论；能运用现行定额编制一般单位工程施工图预算；对设计概算和施工图预算的编制方法有一定的了解</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lang w:eastAsia="zh-CN"/>
              </w:rPr>
            </w:pPr>
            <w:r>
              <w:rPr>
                <w:rFonts w:hint="eastAsia" w:ascii="仿宋" w:hAnsi="仿宋" w:eastAsia="仿宋" w:cs="仿宋"/>
                <w:b/>
                <w:bCs/>
                <w:sz w:val="21"/>
                <w:szCs w:val="21"/>
                <w:u w:val="none"/>
                <w:lang w:eastAsia="zh-CN"/>
              </w:rPr>
              <w:t>主要内容</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定额的内容及应用；建筑安装工程预算定额基价的确定；建筑安装工程费用的构成；工程量计算的主要规则；一般土建工程施工图预算的编制方法和步骤</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lang w:eastAsia="zh-CN"/>
              </w:rPr>
            </w:pPr>
            <w:r>
              <w:rPr>
                <w:rFonts w:hint="eastAsia" w:ascii="仿宋" w:hAnsi="仿宋" w:eastAsia="仿宋" w:cs="仿宋"/>
                <w:b/>
                <w:bCs/>
                <w:sz w:val="21"/>
                <w:szCs w:val="21"/>
                <w:u w:val="none"/>
                <w:lang w:eastAsia="zh-CN"/>
              </w:rPr>
              <w:t>主讲教师及团队</w:t>
            </w:r>
          </w:p>
        </w:tc>
        <w:tc>
          <w:tcPr>
            <w:tcW w:w="738"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张逸飞</w:t>
            </w:r>
          </w:p>
        </w:tc>
        <w:tc>
          <w:tcPr>
            <w:tcW w:w="3565" w:type="pct"/>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高洁</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朱余佳</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程峰</w:t>
            </w:r>
          </w:p>
        </w:tc>
      </w:tr>
    </w:tbl>
    <w:p>
      <w:pPr>
        <w:spacing w:before="156" w:beforeLines="50"/>
        <w:ind w:firstLine="480"/>
        <w:rPr>
          <w:rFonts w:hint="eastAsia" w:ascii="宋体"/>
          <w:szCs w:val="24"/>
          <w:u w:val="none"/>
        </w:rPr>
      </w:pPr>
      <w:r>
        <w:rPr>
          <w:rFonts w:hint="eastAsia" w:ascii="宋体" w:hAnsi="宋体"/>
          <w:szCs w:val="24"/>
          <w:u w:val="none"/>
          <w:lang w:val="en-US" w:eastAsia="zh-CN"/>
        </w:rPr>
        <w:t>3.</w:t>
      </w:r>
      <w:r>
        <w:rPr>
          <w:rFonts w:hint="eastAsia" w:ascii="宋体" w:hAnsi="宋体" w:cs="Arial Unicode MS"/>
          <w:szCs w:val="24"/>
          <w:u w:val="none"/>
        </w:rPr>
        <w:t>工程项目管理</w:t>
      </w:r>
    </w:p>
    <w:tbl>
      <w:tblPr>
        <w:tblStyle w:val="18"/>
        <w:tblW w:w="5035" w:type="pct"/>
        <w:tblInd w:w="0" w:type="dxa"/>
        <w:tblLayout w:type="fixed"/>
        <w:tblCellMar>
          <w:top w:w="0" w:type="dxa"/>
          <w:left w:w="108" w:type="dxa"/>
          <w:bottom w:w="0" w:type="dxa"/>
          <w:right w:w="108" w:type="dxa"/>
        </w:tblCellMar>
      </w:tblPr>
      <w:tblGrid>
        <w:gridCol w:w="1293"/>
        <w:gridCol w:w="1373"/>
        <w:gridCol w:w="13"/>
        <w:gridCol w:w="960"/>
        <w:gridCol w:w="1177"/>
        <w:gridCol w:w="1177"/>
        <w:gridCol w:w="782"/>
        <w:gridCol w:w="1568"/>
        <w:gridCol w:w="1001"/>
        <w:gridCol w:w="9"/>
      </w:tblGrid>
      <w:tr>
        <w:tblPrEx>
          <w:tblCellMar>
            <w:top w:w="0" w:type="dxa"/>
            <w:left w:w="108" w:type="dxa"/>
            <w:bottom w:w="0" w:type="dxa"/>
            <w:right w:w="108" w:type="dxa"/>
          </w:tblCellMar>
        </w:tblPrEx>
        <w:trPr>
          <w:trHeight w:val="720" w:hRule="atLeast"/>
        </w:trPr>
        <w:tc>
          <w:tcPr>
            <w:tcW w:w="1432"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ascii="宋体" w:hAnsi="宋体" w:cs="Arial Unicode MS"/>
                <w:sz w:val="18"/>
                <w:szCs w:val="21"/>
                <w:u w:val="none"/>
              </w:rPr>
            </w:pPr>
            <w:r>
              <w:rPr>
                <w:rFonts w:hint="eastAsia" w:ascii="黑体" w:hAnsi="黑体" w:eastAsia="黑体" w:cs="黑体"/>
                <w:b/>
                <w:bCs/>
                <w:sz w:val="21"/>
                <w:szCs w:val="21"/>
                <w:u w:val="none"/>
              </w:rPr>
              <w:t>课程名称</w:t>
            </w:r>
          </w:p>
        </w:tc>
        <w:tc>
          <w:tcPr>
            <w:tcW w:w="3567"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before="100" w:beforeAutospacing="1" w:after="100" w:afterAutospacing="1" w:line="240" w:lineRule="auto"/>
              <w:ind w:firstLine="0" w:firstLineChars="0"/>
              <w:jc w:val="center"/>
              <w:textAlignment w:val="bottom"/>
              <w:rPr>
                <w:rFonts w:ascii="宋体" w:hAnsi="宋体" w:cs="Arial Unicode MS"/>
                <w:sz w:val="18"/>
                <w:szCs w:val="21"/>
                <w:u w:val="none"/>
              </w:rPr>
            </w:pPr>
            <w:r>
              <w:rPr>
                <w:rFonts w:hint="eastAsia" w:ascii="黑体" w:hAnsi="黑体" w:eastAsia="黑体" w:cs="黑体"/>
                <w:b/>
                <w:bCs/>
                <w:sz w:val="21"/>
                <w:szCs w:val="21"/>
                <w:u w:val="none"/>
              </w:rPr>
              <w:t>工程项目管理</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实施学期</w:t>
            </w:r>
          </w:p>
        </w:tc>
        <w:tc>
          <w:tcPr>
            <w:tcW w:w="73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第三学期</w:t>
            </w:r>
          </w:p>
        </w:tc>
        <w:tc>
          <w:tcPr>
            <w:tcW w:w="520"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总学时</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color w:val="000000"/>
                <w:kern w:val="0"/>
                <w:sz w:val="21"/>
                <w:szCs w:val="21"/>
                <w:u w:val="none"/>
              </w:rPr>
              <w:t>72</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讲授学时</w:t>
            </w:r>
          </w:p>
        </w:tc>
        <w:tc>
          <w:tcPr>
            <w:tcW w:w="41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color w:val="000000"/>
                <w:kern w:val="0"/>
                <w:sz w:val="21"/>
                <w:szCs w:val="21"/>
                <w:u w:val="none"/>
              </w:rPr>
              <w:t>40</w:t>
            </w:r>
          </w:p>
        </w:tc>
        <w:tc>
          <w:tcPr>
            <w:tcW w:w="83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实训学时</w:t>
            </w:r>
          </w:p>
        </w:tc>
        <w:tc>
          <w:tcPr>
            <w:tcW w:w="53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color w:val="000000"/>
                <w:kern w:val="0"/>
                <w:sz w:val="21"/>
                <w:szCs w:val="21"/>
                <w:u w:val="none"/>
              </w:rPr>
              <w:t>32</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教学组织</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多媒体教室进行单元教学，1周专用于基础、墙体、楼梯间的设计，1周用于建筑平面图的设计</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学习重点</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掌握施工项目流水施工法；施工项目进度计划与优化；施工项目全过程管理；施工项目质量管理；施工项目成本管理</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职业能力</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强调理论与工程实际相结合，注重知识的实用性和管理实践的可操作性，强化对学生分析与解决工程施工项目管理实际问题的能力培养与塑造</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主要内容</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构建工程项目管理体系，重点围绕承包商施工项目管理全过程的主要工作内容，阐述工程项目管理的基本理论、原理和方法</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主讲教师及团队</w:t>
            </w:r>
          </w:p>
        </w:tc>
        <w:tc>
          <w:tcPr>
            <w:tcW w:w="741"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高洁</w:t>
            </w:r>
          </w:p>
        </w:tc>
        <w:tc>
          <w:tcPr>
            <w:tcW w:w="3562" w:type="pct"/>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仿宋" w:hAnsi="仿宋" w:eastAsia="仿宋" w:cs="仿宋"/>
                <w:sz w:val="21"/>
                <w:szCs w:val="21"/>
                <w:u w:val="none"/>
              </w:rPr>
            </w:pPr>
            <w:r>
              <w:rPr>
                <w:rFonts w:hint="eastAsia" w:ascii="仿宋" w:hAnsi="仿宋" w:eastAsia="仿宋" w:cs="仿宋"/>
                <w:sz w:val="21"/>
                <w:szCs w:val="21"/>
                <w:u w:val="none"/>
              </w:rPr>
              <w:t>徐莎莎</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王宏莹</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张莉</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王宣</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u w:val="none"/>
              </w:rPr>
              <w:t>翟美玲</w:t>
            </w:r>
          </w:p>
        </w:tc>
      </w:tr>
    </w:tbl>
    <w:p>
      <w:pPr>
        <w:spacing w:before="156" w:beforeLines="50"/>
        <w:ind w:firstLine="480"/>
        <w:rPr>
          <w:rFonts w:hint="eastAsia" w:ascii="宋体"/>
          <w:szCs w:val="24"/>
          <w:u w:val="none"/>
        </w:rPr>
      </w:pPr>
      <w:r>
        <w:rPr>
          <w:rFonts w:hint="eastAsia" w:ascii="宋体" w:hAnsi="宋体"/>
          <w:szCs w:val="24"/>
          <w:u w:val="none"/>
          <w:lang w:val="en-US" w:eastAsia="zh-CN"/>
        </w:rPr>
        <w:t>4.</w:t>
      </w:r>
      <w:r>
        <w:rPr>
          <w:rFonts w:hint="eastAsia" w:ascii="宋体" w:hAnsi="宋体" w:cs="Arial Unicode MS"/>
          <w:szCs w:val="24"/>
          <w:u w:val="none"/>
        </w:rPr>
        <w:t>工程造价与投资审计</w:t>
      </w:r>
    </w:p>
    <w:tbl>
      <w:tblPr>
        <w:tblStyle w:val="18"/>
        <w:tblW w:w="5035" w:type="pct"/>
        <w:tblInd w:w="0" w:type="dxa"/>
        <w:tblLayout w:type="fixed"/>
        <w:tblCellMar>
          <w:top w:w="0" w:type="dxa"/>
          <w:left w:w="108" w:type="dxa"/>
          <w:bottom w:w="0" w:type="dxa"/>
          <w:right w:w="108" w:type="dxa"/>
        </w:tblCellMar>
      </w:tblPr>
      <w:tblGrid>
        <w:gridCol w:w="1293"/>
        <w:gridCol w:w="1373"/>
        <w:gridCol w:w="13"/>
        <w:gridCol w:w="960"/>
        <w:gridCol w:w="1177"/>
        <w:gridCol w:w="1177"/>
        <w:gridCol w:w="782"/>
        <w:gridCol w:w="1568"/>
        <w:gridCol w:w="1001"/>
        <w:gridCol w:w="9"/>
      </w:tblGrid>
      <w:tr>
        <w:tblPrEx>
          <w:tblCellMar>
            <w:top w:w="0" w:type="dxa"/>
            <w:left w:w="108" w:type="dxa"/>
            <w:bottom w:w="0" w:type="dxa"/>
            <w:right w:w="108" w:type="dxa"/>
          </w:tblCellMar>
        </w:tblPrEx>
        <w:trPr>
          <w:trHeight w:val="720" w:hRule="atLeast"/>
        </w:trPr>
        <w:tc>
          <w:tcPr>
            <w:tcW w:w="1432"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ascii="宋体" w:hAnsi="宋体" w:cs="Arial Unicode MS"/>
                <w:sz w:val="18"/>
                <w:szCs w:val="21"/>
                <w:u w:val="none"/>
              </w:rPr>
            </w:pPr>
            <w:r>
              <w:rPr>
                <w:rFonts w:hint="eastAsia" w:ascii="黑体" w:hAnsi="黑体" w:eastAsia="黑体" w:cs="黑体"/>
                <w:b/>
                <w:bCs/>
                <w:sz w:val="21"/>
                <w:szCs w:val="21"/>
                <w:u w:val="none"/>
              </w:rPr>
              <w:t>课程名称</w:t>
            </w:r>
          </w:p>
        </w:tc>
        <w:tc>
          <w:tcPr>
            <w:tcW w:w="3567"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宋体" w:hAnsi="宋体" w:cs="Arial Unicode MS"/>
                <w:sz w:val="18"/>
                <w:szCs w:val="21"/>
                <w:u w:val="none"/>
              </w:rPr>
            </w:pPr>
            <w:r>
              <w:rPr>
                <w:rFonts w:hint="eastAsia" w:ascii="黑体" w:hAnsi="黑体" w:eastAsia="黑体" w:cs="黑体"/>
                <w:b/>
                <w:bCs/>
                <w:sz w:val="21"/>
                <w:szCs w:val="21"/>
                <w:u w:val="none"/>
              </w:rPr>
              <w:t>工程造价管理与投资审计</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实施学期</w:t>
            </w:r>
          </w:p>
        </w:tc>
        <w:tc>
          <w:tcPr>
            <w:tcW w:w="73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第五学期</w:t>
            </w:r>
          </w:p>
        </w:tc>
        <w:tc>
          <w:tcPr>
            <w:tcW w:w="520"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总学时</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color w:val="000000"/>
                <w:kern w:val="0"/>
                <w:sz w:val="21"/>
                <w:szCs w:val="21"/>
                <w:u w:val="none"/>
              </w:rPr>
              <w:t>72</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讲授学时</w:t>
            </w:r>
          </w:p>
        </w:tc>
        <w:tc>
          <w:tcPr>
            <w:tcW w:w="41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color w:val="000000"/>
                <w:kern w:val="0"/>
                <w:sz w:val="21"/>
                <w:szCs w:val="21"/>
                <w:u w:val="none"/>
              </w:rPr>
              <w:t>36</w:t>
            </w:r>
          </w:p>
        </w:tc>
        <w:tc>
          <w:tcPr>
            <w:tcW w:w="83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实训学时</w:t>
            </w:r>
          </w:p>
        </w:tc>
        <w:tc>
          <w:tcPr>
            <w:tcW w:w="53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36</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教学组织</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lang w:eastAsia="zh-CN"/>
              </w:rPr>
            </w:pPr>
            <w:r>
              <w:rPr>
                <w:rFonts w:hint="eastAsia" w:ascii="仿宋" w:hAnsi="仿宋" w:eastAsia="仿宋" w:cs="仿宋"/>
                <w:sz w:val="21"/>
                <w:szCs w:val="21"/>
                <w:u w:val="none"/>
              </w:rPr>
              <w:t>多媒体教教学</w:t>
            </w:r>
            <w:r>
              <w:rPr>
                <w:rFonts w:hint="eastAsia" w:ascii="仿宋" w:hAnsi="仿宋" w:eastAsia="仿宋" w:cs="仿宋"/>
                <w:sz w:val="21"/>
                <w:szCs w:val="21"/>
                <w:u w:val="none"/>
                <w:lang w:eastAsia="zh-CN"/>
              </w:rPr>
              <w:t>结合工程案例实训</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学习重点</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textAlignment w:val="bottom"/>
              <w:rPr>
                <w:rFonts w:hint="eastAsia" w:ascii="仿宋" w:hAnsi="仿宋" w:eastAsia="仿宋" w:cs="仿宋"/>
                <w:sz w:val="21"/>
                <w:szCs w:val="21"/>
                <w:u w:val="none"/>
              </w:rPr>
            </w:pPr>
            <w:r>
              <w:rPr>
                <w:rFonts w:hint="eastAsia" w:ascii="仿宋" w:hAnsi="仿宋" w:eastAsia="仿宋" w:cs="仿宋"/>
                <w:sz w:val="21"/>
                <w:szCs w:val="21"/>
                <w:u w:val="none"/>
              </w:rPr>
              <w:t>掌握建设工程造价的组成、计价的原理、计价依据和建设工程造价管理各个阶段的内容和方法</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职业能力</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掌握工程造价知识和能力，懂得工程造价理论，掌握解决工程经济问题的先进技术和方法，并能综合应用这些理论和分析方法，解决工程实践的实际问题</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主要内容</w:t>
            </w:r>
          </w:p>
        </w:tc>
        <w:tc>
          <w:tcPr>
            <w:tcW w:w="4303"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sz w:val="21"/>
                <w:szCs w:val="21"/>
                <w:u w:val="none"/>
              </w:rPr>
            </w:pPr>
            <w:r>
              <w:rPr>
                <w:rFonts w:hint="eastAsia" w:ascii="仿宋" w:hAnsi="仿宋" w:eastAsia="仿宋" w:cs="仿宋"/>
                <w:sz w:val="21"/>
                <w:szCs w:val="21"/>
                <w:u w:val="none"/>
              </w:rPr>
              <w:t>工程造价管理概论、工程造价构成、工程造价计价依据、建设项目投资决策阶段工程造价管理、建设项目设计阶段工程造价管理、建设项目招投标阶段工程造价管理、建设项目施工阶段工程造价管理、建设项目竣工验收阶段及后评估阶段工程造价管理</w:t>
            </w:r>
          </w:p>
        </w:tc>
      </w:tr>
      <w:tr>
        <w:tblPrEx>
          <w:tblCellMar>
            <w:top w:w="0" w:type="dxa"/>
            <w:left w:w="108" w:type="dxa"/>
            <w:bottom w:w="0" w:type="dxa"/>
            <w:right w:w="108" w:type="dxa"/>
          </w:tblCellMar>
        </w:tblPrEx>
        <w:trPr>
          <w:gridAfter w:val="1"/>
          <w:wAfter w:w="5" w:type="pct"/>
          <w:trHeight w:val="720" w:hRule="atLeast"/>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主讲教师及团队</w:t>
            </w:r>
          </w:p>
        </w:tc>
        <w:tc>
          <w:tcPr>
            <w:tcW w:w="741"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sz w:val="21"/>
                <w:szCs w:val="21"/>
                <w:u w:val="none"/>
              </w:rPr>
            </w:pPr>
            <w:r>
              <w:rPr>
                <w:rFonts w:hint="eastAsia" w:ascii="仿宋" w:hAnsi="仿宋" w:eastAsia="仿宋" w:cs="仿宋"/>
                <w:sz w:val="21"/>
                <w:szCs w:val="21"/>
                <w:u w:val="none"/>
              </w:rPr>
              <w:t>程峰</w:t>
            </w:r>
          </w:p>
        </w:tc>
        <w:tc>
          <w:tcPr>
            <w:tcW w:w="3562" w:type="pct"/>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2310" w:firstLineChars="1100"/>
              <w:jc w:val="both"/>
              <w:textAlignment w:val="bottom"/>
              <w:rPr>
                <w:rFonts w:hint="eastAsia" w:ascii="仿宋" w:hAnsi="仿宋" w:eastAsia="仿宋" w:cs="仿宋"/>
                <w:sz w:val="21"/>
                <w:szCs w:val="21"/>
                <w:u w:val="none"/>
              </w:rPr>
            </w:pPr>
            <w:r>
              <w:rPr>
                <w:rFonts w:hint="eastAsia" w:ascii="仿宋" w:hAnsi="仿宋" w:eastAsia="仿宋" w:cs="仿宋"/>
                <w:sz w:val="21"/>
                <w:szCs w:val="21"/>
                <w:u w:val="none"/>
              </w:rPr>
              <w:t>张逸飞</w:t>
            </w:r>
          </w:p>
        </w:tc>
      </w:tr>
    </w:tbl>
    <w:p>
      <w:pPr>
        <w:spacing w:before="156" w:beforeLines="50"/>
        <w:ind w:firstLine="480"/>
        <w:jc w:val="left"/>
        <w:rPr>
          <w:rFonts w:hint="eastAsia"/>
          <w:u w:val="none"/>
        </w:rPr>
      </w:pPr>
      <w:r>
        <w:rPr>
          <w:rFonts w:hint="eastAsia" w:ascii="宋体" w:hAnsi="宋体"/>
          <w:szCs w:val="24"/>
          <w:u w:val="none"/>
          <w:lang w:val="en-US" w:eastAsia="zh-CN"/>
        </w:rPr>
        <w:t>5.</w:t>
      </w:r>
      <w:r>
        <w:rPr>
          <w:rFonts w:hint="eastAsia" w:ascii="宋体" w:hAnsi="宋体" w:cs="Arial Unicode MS"/>
          <w:szCs w:val="24"/>
          <w:u w:val="none"/>
        </w:rPr>
        <w:t>工程造价信息化（广联达/品茗等软件）</w:t>
      </w:r>
    </w:p>
    <w:tbl>
      <w:tblPr>
        <w:tblStyle w:val="18"/>
        <w:tblW w:w="5034" w:type="pct"/>
        <w:jc w:val="center"/>
        <w:tblLayout w:type="fixed"/>
        <w:tblCellMar>
          <w:top w:w="0" w:type="dxa"/>
          <w:left w:w="108" w:type="dxa"/>
          <w:bottom w:w="0" w:type="dxa"/>
          <w:right w:w="108" w:type="dxa"/>
        </w:tblCellMar>
      </w:tblPr>
      <w:tblGrid>
        <w:gridCol w:w="1293"/>
        <w:gridCol w:w="1372"/>
        <w:gridCol w:w="15"/>
        <w:gridCol w:w="958"/>
        <w:gridCol w:w="1176"/>
        <w:gridCol w:w="1176"/>
        <w:gridCol w:w="784"/>
        <w:gridCol w:w="1567"/>
        <w:gridCol w:w="999"/>
        <w:gridCol w:w="11"/>
      </w:tblGrid>
      <w:tr>
        <w:tblPrEx>
          <w:tblCellMar>
            <w:top w:w="0" w:type="dxa"/>
            <w:left w:w="108" w:type="dxa"/>
            <w:bottom w:w="0" w:type="dxa"/>
            <w:right w:w="108" w:type="dxa"/>
          </w:tblCellMar>
        </w:tblPrEx>
        <w:trPr>
          <w:trHeight w:val="720" w:hRule="atLeast"/>
          <w:jc w:val="center"/>
        </w:trPr>
        <w:tc>
          <w:tcPr>
            <w:tcW w:w="1432"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ascii="宋体" w:hAnsi="宋体" w:cs="Arial Unicode MS"/>
                <w:sz w:val="18"/>
                <w:szCs w:val="21"/>
                <w:u w:val="none"/>
              </w:rPr>
            </w:pPr>
            <w:r>
              <w:rPr>
                <w:rFonts w:hint="eastAsia" w:ascii="黑体" w:hAnsi="黑体" w:eastAsia="黑体" w:cs="黑体"/>
                <w:b/>
                <w:bCs/>
                <w:sz w:val="21"/>
                <w:szCs w:val="21"/>
                <w:u w:val="none"/>
              </w:rPr>
              <w:t>课程名称</w:t>
            </w:r>
          </w:p>
        </w:tc>
        <w:tc>
          <w:tcPr>
            <w:tcW w:w="3567" w:type="pct"/>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ascii="宋体" w:hAnsi="宋体" w:cs="Arial Unicode MS"/>
                <w:sz w:val="18"/>
                <w:szCs w:val="21"/>
                <w:u w:val="none"/>
              </w:rPr>
            </w:pPr>
            <w:r>
              <w:rPr>
                <w:rFonts w:hint="eastAsia" w:ascii="黑体" w:hAnsi="黑体" w:eastAsia="黑体" w:cs="黑体"/>
                <w:b/>
                <w:bCs/>
                <w:sz w:val="21"/>
                <w:szCs w:val="21"/>
                <w:u w:val="none"/>
              </w:rPr>
              <w:t>工程造价信息化(广联达/品茗等软件）</w:t>
            </w:r>
          </w:p>
        </w:tc>
      </w:tr>
      <w:tr>
        <w:tblPrEx>
          <w:tblCellMar>
            <w:top w:w="0" w:type="dxa"/>
            <w:left w:w="108" w:type="dxa"/>
            <w:bottom w:w="0" w:type="dxa"/>
            <w:right w:w="108" w:type="dxa"/>
          </w:tblCellMar>
        </w:tblPrEx>
        <w:trPr>
          <w:gridAfter w:val="1"/>
          <w:wAfter w:w="5" w:type="pct"/>
          <w:trHeight w:val="720" w:hRule="atLeast"/>
          <w:jc w:val="center"/>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实施学期</w:t>
            </w:r>
          </w:p>
        </w:tc>
        <w:tc>
          <w:tcPr>
            <w:tcW w:w="733"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第三学期</w:t>
            </w:r>
          </w:p>
        </w:tc>
        <w:tc>
          <w:tcPr>
            <w:tcW w:w="520"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总学时</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color w:val="000000"/>
                <w:kern w:val="0"/>
                <w:sz w:val="21"/>
                <w:szCs w:val="21"/>
                <w:u w:val="none"/>
              </w:rPr>
              <w:t>36</w:t>
            </w:r>
          </w:p>
        </w:tc>
        <w:tc>
          <w:tcPr>
            <w:tcW w:w="62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讲授学时</w:t>
            </w:r>
          </w:p>
        </w:tc>
        <w:tc>
          <w:tcPr>
            <w:tcW w:w="41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color w:val="000000"/>
                <w:kern w:val="0"/>
                <w:sz w:val="21"/>
                <w:szCs w:val="21"/>
                <w:u w:val="none"/>
              </w:rPr>
              <w:t>8</w:t>
            </w:r>
          </w:p>
        </w:tc>
        <w:tc>
          <w:tcPr>
            <w:tcW w:w="83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实训学时</w:t>
            </w:r>
          </w:p>
        </w:tc>
        <w:tc>
          <w:tcPr>
            <w:tcW w:w="53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color w:val="000000"/>
                <w:kern w:val="0"/>
                <w:sz w:val="21"/>
                <w:szCs w:val="21"/>
                <w:u w:val="none"/>
              </w:rPr>
              <w:t>28</w:t>
            </w:r>
          </w:p>
        </w:tc>
      </w:tr>
      <w:tr>
        <w:tblPrEx>
          <w:tblCellMar>
            <w:top w:w="0" w:type="dxa"/>
            <w:left w:w="108" w:type="dxa"/>
            <w:bottom w:w="0" w:type="dxa"/>
            <w:right w:w="108" w:type="dxa"/>
          </w:tblCellMar>
        </w:tblPrEx>
        <w:trPr>
          <w:gridAfter w:val="1"/>
          <w:wAfter w:w="5" w:type="pct"/>
          <w:trHeight w:val="720" w:hRule="atLeast"/>
          <w:jc w:val="center"/>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教学组织</w:t>
            </w:r>
          </w:p>
        </w:tc>
        <w:tc>
          <w:tcPr>
            <w:tcW w:w="4302"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b w:val="0"/>
                <w:bCs w:val="0"/>
                <w:sz w:val="21"/>
                <w:szCs w:val="21"/>
                <w:u w:val="none"/>
                <w:lang w:eastAsia="zh-CN"/>
              </w:rPr>
            </w:pPr>
            <w:r>
              <w:rPr>
                <w:rFonts w:hint="eastAsia" w:ascii="仿宋" w:hAnsi="仿宋" w:eastAsia="仿宋" w:cs="仿宋"/>
                <w:b w:val="0"/>
                <w:bCs w:val="0"/>
                <w:sz w:val="21"/>
                <w:szCs w:val="21"/>
                <w:u w:val="none"/>
                <w:lang w:eastAsia="zh-CN"/>
              </w:rPr>
              <w:t>多媒体教学、工程造价实训室软件操练</w:t>
            </w:r>
          </w:p>
        </w:tc>
      </w:tr>
      <w:tr>
        <w:tblPrEx>
          <w:tblCellMar>
            <w:top w:w="0" w:type="dxa"/>
            <w:left w:w="108" w:type="dxa"/>
            <w:bottom w:w="0" w:type="dxa"/>
            <w:right w:w="108" w:type="dxa"/>
          </w:tblCellMar>
        </w:tblPrEx>
        <w:trPr>
          <w:gridAfter w:val="1"/>
          <w:wAfter w:w="5" w:type="pct"/>
          <w:trHeight w:val="720" w:hRule="atLeast"/>
          <w:jc w:val="center"/>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学习重点</w:t>
            </w:r>
          </w:p>
        </w:tc>
        <w:tc>
          <w:tcPr>
            <w:tcW w:w="4302"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斯维尔、广联达等计价软件</w:t>
            </w:r>
          </w:p>
        </w:tc>
      </w:tr>
      <w:tr>
        <w:tblPrEx>
          <w:tblCellMar>
            <w:top w:w="0" w:type="dxa"/>
            <w:left w:w="108" w:type="dxa"/>
            <w:bottom w:w="0" w:type="dxa"/>
            <w:right w:w="108" w:type="dxa"/>
          </w:tblCellMar>
        </w:tblPrEx>
        <w:trPr>
          <w:gridAfter w:val="1"/>
          <w:wAfter w:w="5" w:type="pct"/>
          <w:trHeight w:val="720" w:hRule="atLeast"/>
          <w:jc w:val="center"/>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职业能力</w:t>
            </w:r>
          </w:p>
        </w:tc>
        <w:tc>
          <w:tcPr>
            <w:tcW w:w="4302"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使学生掌握工程项目管理的理论和方法，具有从事工程项目建设活动的基本管理知识，具备解决一般工程管理问题的能力</w:t>
            </w:r>
          </w:p>
        </w:tc>
      </w:tr>
      <w:tr>
        <w:tblPrEx>
          <w:tblCellMar>
            <w:top w:w="0" w:type="dxa"/>
            <w:left w:w="108" w:type="dxa"/>
            <w:bottom w:w="0" w:type="dxa"/>
            <w:right w:w="108" w:type="dxa"/>
          </w:tblCellMar>
        </w:tblPrEx>
        <w:trPr>
          <w:gridAfter w:val="1"/>
          <w:wAfter w:w="5" w:type="pct"/>
          <w:trHeight w:val="720" w:hRule="atLeast"/>
          <w:jc w:val="center"/>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主要内容</w:t>
            </w:r>
          </w:p>
        </w:tc>
        <w:tc>
          <w:tcPr>
            <w:tcW w:w="4302" w:type="pct"/>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left"/>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建筑工程项目目标管理；工程项目合同与信息管理；工程建设项目资源管理；工程项目风险管理；建筑工程项目后期管理</w:t>
            </w:r>
          </w:p>
        </w:tc>
      </w:tr>
      <w:tr>
        <w:tblPrEx>
          <w:tblCellMar>
            <w:top w:w="0" w:type="dxa"/>
            <w:left w:w="108" w:type="dxa"/>
            <w:bottom w:w="0" w:type="dxa"/>
            <w:right w:w="108" w:type="dxa"/>
          </w:tblCellMar>
        </w:tblPrEx>
        <w:trPr>
          <w:gridAfter w:val="1"/>
          <w:wAfter w:w="5" w:type="pct"/>
          <w:trHeight w:val="720" w:hRule="atLeast"/>
          <w:jc w:val="center"/>
        </w:trPr>
        <w:tc>
          <w:tcPr>
            <w:tcW w:w="69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bCs/>
                <w:sz w:val="21"/>
                <w:szCs w:val="21"/>
                <w:u w:val="none"/>
              </w:rPr>
            </w:pPr>
            <w:r>
              <w:rPr>
                <w:rFonts w:hint="eastAsia" w:ascii="仿宋" w:hAnsi="仿宋" w:eastAsia="仿宋" w:cs="仿宋"/>
                <w:b/>
                <w:bCs/>
                <w:sz w:val="21"/>
                <w:szCs w:val="21"/>
                <w:u w:val="none"/>
              </w:rPr>
              <w:t>主讲教师及团队</w:t>
            </w:r>
          </w:p>
        </w:tc>
        <w:tc>
          <w:tcPr>
            <w:tcW w:w="740" w:type="pct"/>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朱余佳</w:t>
            </w:r>
          </w:p>
        </w:tc>
        <w:tc>
          <w:tcPr>
            <w:tcW w:w="3561" w:type="pct"/>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before="100" w:beforeAutospacing="1" w:after="100" w:afterAutospacing="1" w:line="240" w:lineRule="auto"/>
              <w:ind w:firstLine="0" w:firstLineChars="0"/>
              <w:jc w:val="center"/>
              <w:textAlignment w:val="bottom"/>
              <w:rPr>
                <w:rFonts w:hint="eastAsia" w:ascii="仿宋" w:hAnsi="仿宋" w:eastAsia="仿宋" w:cs="仿宋"/>
                <w:b w:val="0"/>
                <w:bCs w:val="0"/>
                <w:sz w:val="21"/>
                <w:szCs w:val="21"/>
                <w:u w:val="none"/>
              </w:rPr>
            </w:pPr>
            <w:r>
              <w:rPr>
                <w:rFonts w:hint="eastAsia" w:ascii="仿宋" w:hAnsi="仿宋" w:eastAsia="仿宋" w:cs="仿宋"/>
                <w:b w:val="0"/>
                <w:bCs w:val="0"/>
                <w:sz w:val="21"/>
                <w:szCs w:val="21"/>
                <w:u w:val="none"/>
              </w:rPr>
              <w:t>程峰</w:t>
            </w: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sz w:val="21"/>
                <w:szCs w:val="21"/>
                <w:u w:val="none"/>
              </w:rPr>
              <w:t>张逸飞</w:t>
            </w: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sz w:val="21"/>
                <w:szCs w:val="21"/>
                <w:u w:val="none"/>
              </w:rPr>
              <w:t>赵玮</w:t>
            </w:r>
          </w:p>
        </w:tc>
      </w:tr>
    </w:tbl>
    <w:p>
      <w:pPr>
        <w:ind w:firstLine="0" w:firstLineChars="0"/>
        <w:jc w:val="left"/>
        <w:rPr>
          <w:b/>
          <w:sz w:val="21"/>
          <w:szCs w:val="21"/>
          <w:u w:val="none"/>
        </w:rPr>
      </w:pPr>
    </w:p>
    <w:p>
      <w:pPr>
        <w:spacing w:line="240" w:lineRule="auto"/>
        <w:ind w:firstLine="0" w:firstLineChars="0"/>
        <w:rPr>
          <w:rFonts w:hint="eastAsia"/>
          <w:sz w:val="21"/>
          <w:szCs w:val="21"/>
          <w:u w:val="none"/>
        </w:rPr>
      </w:pPr>
    </w:p>
    <w:p>
      <w:pPr>
        <w:ind w:firstLine="420"/>
        <w:rPr>
          <w:rFonts w:hint="eastAsia"/>
          <w:sz w:val="21"/>
          <w:szCs w:val="21"/>
          <w:u w:val="none"/>
        </w:rPr>
      </w:pPr>
    </w:p>
    <w:p>
      <w:pPr>
        <w:ind w:firstLine="420"/>
        <w:jc w:val="center"/>
        <w:rPr>
          <w:rFonts w:hint="eastAsia"/>
          <w:sz w:val="21"/>
          <w:szCs w:val="21"/>
          <w:u w:val="none"/>
        </w:rPr>
      </w:pPr>
    </w:p>
    <w:p>
      <w:pPr>
        <w:ind w:firstLine="420"/>
        <w:rPr>
          <w:rFonts w:hint="eastAsia"/>
          <w:sz w:val="21"/>
          <w:szCs w:val="21"/>
          <w:u w:val="none"/>
        </w:rPr>
      </w:pPr>
    </w:p>
    <w:sectPr>
      <w:footerReference r:id="rId13" w:type="default"/>
      <w:pgSz w:w="11906" w:h="16838"/>
      <w:pgMar w:top="1417" w:right="1417" w:bottom="1417" w:left="141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方正魏碑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2</w:t>
    </w:r>
    <w:r>
      <w:fldChar w:fldCharType="end"/>
    </w:r>
    <w:r>
      <w:rPr>
        <w:rFonts w:ascii="Cambria" w:hAnsi="Cambria"/>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fldChar w:fldCharType="begin"/>
    </w:r>
    <w:r>
      <w:rPr>
        <w:rStyle w:val="21"/>
      </w:rPr>
      <w:instrText xml:space="preserve">PAGE  </w:instrText>
    </w:r>
    <w:r>
      <w:fldChar w:fldCharType="end"/>
    </w:r>
  </w:p>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36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- 24 -</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11"/>
                      <w:ind w:firstLine="36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- 24 -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6BE84"/>
    <w:multiLevelType w:val="singleLevel"/>
    <w:tmpl w:val="B736BE84"/>
    <w:lvl w:ilvl="0" w:tentative="0">
      <w:start w:val="1"/>
      <w:numFmt w:val="chineseCounting"/>
      <w:suff w:val="nothing"/>
      <w:lvlText w:val="（%1）"/>
      <w:lvlJc w:val="left"/>
      <w:rPr>
        <w:rFonts w:hint="eastAsia"/>
      </w:rPr>
    </w:lvl>
  </w:abstractNum>
  <w:abstractNum w:abstractNumId="1">
    <w:nsid w:val="23295D72"/>
    <w:multiLevelType w:val="singleLevel"/>
    <w:tmpl w:val="23295D72"/>
    <w:lvl w:ilvl="0" w:tentative="0">
      <w:start w:val="9"/>
      <w:numFmt w:val="chineseCounting"/>
      <w:suff w:val="nothing"/>
      <w:lvlText w:val="%1、"/>
      <w:lvlJc w:val="left"/>
      <w:rPr>
        <w:rFonts w:hint="eastAsia"/>
      </w:rPr>
    </w:lvl>
  </w:abstractNum>
  <w:abstractNum w:abstractNumId="2">
    <w:nsid w:val="311A1917"/>
    <w:multiLevelType w:val="singleLevel"/>
    <w:tmpl w:val="311A191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ODZmNWE4ZmU3M2U3ZmJmZTQ0MjY0ODY4OGY1OWMifQ=="/>
  </w:docVars>
  <w:rsids>
    <w:rsidRoot w:val="007A73F5"/>
    <w:rsid w:val="000048BF"/>
    <w:rsid w:val="000102E8"/>
    <w:rsid w:val="00017C09"/>
    <w:rsid w:val="00027D2A"/>
    <w:rsid w:val="00033403"/>
    <w:rsid w:val="000375B3"/>
    <w:rsid w:val="00037A21"/>
    <w:rsid w:val="00072CAC"/>
    <w:rsid w:val="000824BD"/>
    <w:rsid w:val="00091DE4"/>
    <w:rsid w:val="000972E8"/>
    <w:rsid w:val="000B4916"/>
    <w:rsid w:val="000B4DF4"/>
    <w:rsid w:val="000C3DEA"/>
    <w:rsid w:val="000D283F"/>
    <w:rsid w:val="000D47D4"/>
    <w:rsid w:val="000D68FB"/>
    <w:rsid w:val="000E3042"/>
    <w:rsid w:val="000F19C0"/>
    <w:rsid w:val="000F6E47"/>
    <w:rsid w:val="00115604"/>
    <w:rsid w:val="00125A5A"/>
    <w:rsid w:val="00130B08"/>
    <w:rsid w:val="00133A04"/>
    <w:rsid w:val="00133BF6"/>
    <w:rsid w:val="001371EE"/>
    <w:rsid w:val="00147648"/>
    <w:rsid w:val="00147C17"/>
    <w:rsid w:val="00162441"/>
    <w:rsid w:val="001726E8"/>
    <w:rsid w:val="0018154C"/>
    <w:rsid w:val="001816DF"/>
    <w:rsid w:val="0019739A"/>
    <w:rsid w:val="001A5D5C"/>
    <w:rsid w:val="001C0261"/>
    <w:rsid w:val="001C0719"/>
    <w:rsid w:val="001C45A7"/>
    <w:rsid w:val="001D58B1"/>
    <w:rsid w:val="001D5A20"/>
    <w:rsid w:val="001E2B35"/>
    <w:rsid w:val="001F161B"/>
    <w:rsid w:val="00200383"/>
    <w:rsid w:val="00201233"/>
    <w:rsid w:val="0020155A"/>
    <w:rsid w:val="00201EB1"/>
    <w:rsid w:val="002245FB"/>
    <w:rsid w:val="0023507C"/>
    <w:rsid w:val="00250461"/>
    <w:rsid w:val="00252111"/>
    <w:rsid w:val="00267DC0"/>
    <w:rsid w:val="002857EB"/>
    <w:rsid w:val="002916CF"/>
    <w:rsid w:val="002944DB"/>
    <w:rsid w:val="00296BCF"/>
    <w:rsid w:val="002A2F5B"/>
    <w:rsid w:val="002A67F0"/>
    <w:rsid w:val="002A7D59"/>
    <w:rsid w:val="002B2AE0"/>
    <w:rsid w:val="002B3319"/>
    <w:rsid w:val="002E521B"/>
    <w:rsid w:val="002E7619"/>
    <w:rsid w:val="002F01B1"/>
    <w:rsid w:val="002F4151"/>
    <w:rsid w:val="002F5C45"/>
    <w:rsid w:val="00301C89"/>
    <w:rsid w:val="00303074"/>
    <w:rsid w:val="00304524"/>
    <w:rsid w:val="003049FD"/>
    <w:rsid w:val="003068FC"/>
    <w:rsid w:val="00312C37"/>
    <w:rsid w:val="0031416E"/>
    <w:rsid w:val="003307D2"/>
    <w:rsid w:val="00332E20"/>
    <w:rsid w:val="00352DBD"/>
    <w:rsid w:val="00353871"/>
    <w:rsid w:val="00357050"/>
    <w:rsid w:val="003619ED"/>
    <w:rsid w:val="003639FF"/>
    <w:rsid w:val="00365CEA"/>
    <w:rsid w:val="00371DED"/>
    <w:rsid w:val="00376EED"/>
    <w:rsid w:val="00396201"/>
    <w:rsid w:val="003B6541"/>
    <w:rsid w:val="003C7D42"/>
    <w:rsid w:val="003D277D"/>
    <w:rsid w:val="003E3486"/>
    <w:rsid w:val="003E3734"/>
    <w:rsid w:val="004151DF"/>
    <w:rsid w:val="00430152"/>
    <w:rsid w:val="004351CF"/>
    <w:rsid w:val="004700A1"/>
    <w:rsid w:val="0047035D"/>
    <w:rsid w:val="004716B1"/>
    <w:rsid w:val="00473B39"/>
    <w:rsid w:val="00492E12"/>
    <w:rsid w:val="00492F9F"/>
    <w:rsid w:val="00497DD0"/>
    <w:rsid w:val="004A3E1D"/>
    <w:rsid w:val="004A729C"/>
    <w:rsid w:val="004A7B98"/>
    <w:rsid w:val="004C16B7"/>
    <w:rsid w:val="004D64EE"/>
    <w:rsid w:val="004D6E2D"/>
    <w:rsid w:val="004F0628"/>
    <w:rsid w:val="004F414D"/>
    <w:rsid w:val="004F72B5"/>
    <w:rsid w:val="00503EE7"/>
    <w:rsid w:val="00520481"/>
    <w:rsid w:val="00521CCC"/>
    <w:rsid w:val="005747CA"/>
    <w:rsid w:val="0057744B"/>
    <w:rsid w:val="00577F8F"/>
    <w:rsid w:val="00582C61"/>
    <w:rsid w:val="00585CF8"/>
    <w:rsid w:val="005A0E88"/>
    <w:rsid w:val="005A3721"/>
    <w:rsid w:val="005A6F25"/>
    <w:rsid w:val="005B0E79"/>
    <w:rsid w:val="005B464A"/>
    <w:rsid w:val="005B4FC9"/>
    <w:rsid w:val="005D0524"/>
    <w:rsid w:val="005E54BB"/>
    <w:rsid w:val="005F2A57"/>
    <w:rsid w:val="005F4025"/>
    <w:rsid w:val="005F41F3"/>
    <w:rsid w:val="005F508B"/>
    <w:rsid w:val="005F7BB2"/>
    <w:rsid w:val="00610468"/>
    <w:rsid w:val="00610764"/>
    <w:rsid w:val="00630C34"/>
    <w:rsid w:val="00641D6B"/>
    <w:rsid w:val="00642390"/>
    <w:rsid w:val="00650A07"/>
    <w:rsid w:val="00657A3F"/>
    <w:rsid w:val="00687B72"/>
    <w:rsid w:val="006941D3"/>
    <w:rsid w:val="006A2FCB"/>
    <w:rsid w:val="006B427B"/>
    <w:rsid w:val="006B44BE"/>
    <w:rsid w:val="006C0659"/>
    <w:rsid w:val="006C2A8F"/>
    <w:rsid w:val="006C3E78"/>
    <w:rsid w:val="006D0F47"/>
    <w:rsid w:val="006D1A5C"/>
    <w:rsid w:val="006E43A1"/>
    <w:rsid w:val="006E61E2"/>
    <w:rsid w:val="006E6C29"/>
    <w:rsid w:val="006F2BD6"/>
    <w:rsid w:val="0070658A"/>
    <w:rsid w:val="0071627B"/>
    <w:rsid w:val="00722D21"/>
    <w:rsid w:val="007230EB"/>
    <w:rsid w:val="00724108"/>
    <w:rsid w:val="00725F88"/>
    <w:rsid w:val="00727DE6"/>
    <w:rsid w:val="00734612"/>
    <w:rsid w:val="0075088B"/>
    <w:rsid w:val="00753628"/>
    <w:rsid w:val="007667EB"/>
    <w:rsid w:val="00774CE4"/>
    <w:rsid w:val="007918B4"/>
    <w:rsid w:val="00795F5A"/>
    <w:rsid w:val="007A331B"/>
    <w:rsid w:val="007A73F5"/>
    <w:rsid w:val="007A78B0"/>
    <w:rsid w:val="007B3140"/>
    <w:rsid w:val="007B3552"/>
    <w:rsid w:val="007B7617"/>
    <w:rsid w:val="007E0283"/>
    <w:rsid w:val="007E399C"/>
    <w:rsid w:val="007E3F53"/>
    <w:rsid w:val="008139FB"/>
    <w:rsid w:val="00847DE9"/>
    <w:rsid w:val="00862BF4"/>
    <w:rsid w:val="008665F4"/>
    <w:rsid w:val="00866679"/>
    <w:rsid w:val="00870F0A"/>
    <w:rsid w:val="0088130A"/>
    <w:rsid w:val="00882DD3"/>
    <w:rsid w:val="00883855"/>
    <w:rsid w:val="008B39DA"/>
    <w:rsid w:val="008B5D35"/>
    <w:rsid w:val="008C55C7"/>
    <w:rsid w:val="008D0B24"/>
    <w:rsid w:val="008D2856"/>
    <w:rsid w:val="008D5DB8"/>
    <w:rsid w:val="008D7B63"/>
    <w:rsid w:val="00901BA8"/>
    <w:rsid w:val="00904541"/>
    <w:rsid w:val="0090469F"/>
    <w:rsid w:val="00906A92"/>
    <w:rsid w:val="009133F5"/>
    <w:rsid w:val="00931339"/>
    <w:rsid w:val="00935E29"/>
    <w:rsid w:val="0094117C"/>
    <w:rsid w:val="009426F7"/>
    <w:rsid w:val="00944D27"/>
    <w:rsid w:val="00946AD7"/>
    <w:rsid w:val="009674C0"/>
    <w:rsid w:val="00974E43"/>
    <w:rsid w:val="00975236"/>
    <w:rsid w:val="009877CA"/>
    <w:rsid w:val="00994235"/>
    <w:rsid w:val="009A2111"/>
    <w:rsid w:val="009A65CE"/>
    <w:rsid w:val="009A65E7"/>
    <w:rsid w:val="009C16DE"/>
    <w:rsid w:val="009C6011"/>
    <w:rsid w:val="009C6207"/>
    <w:rsid w:val="009D0916"/>
    <w:rsid w:val="009E7B0B"/>
    <w:rsid w:val="009F5304"/>
    <w:rsid w:val="00A04752"/>
    <w:rsid w:val="00A13274"/>
    <w:rsid w:val="00A151DB"/>
    <w:rsid w:val="00A33BD0"/>
    <w:rsid w:val="00A57DC8"/>
    <w:rsid w:val="00A708F1"/>
    <w:rsid w:val="00A74111"/>
    <w:rsid w:val="00A913C8"/>
    <w:rsid w:val="00AA2482"/>
    <w:rsid w:val="00AA6C99"/>
    <w:rsid w:val="00AB2727"/>
    <w:rsid w:val="00AC1B25"/>
    <w:rsid w:val="00AE0207"/>
    <w:rsid w:val="00AE4E5B"/>
    <w:rsid w:val="00AF28D7"/>
    <w:rsid w:val="00B021F7"/>
    <w:rsid w:val="00B030BD"/>
    <w:rsid w:val="00B03FD9"/>
    <w:rsid w:val="00B121BC"/>
    <w:rsid w:val="00B2581D"/>
    <w:rsid w:val="00B2627F"/>
    <w:rsid w:val="00B31235"/>
    <w:rsid w:val="00B354EB"/>
    <w:rsid w:val="00B3644E"/>
    <w:rsid w:val="00B36ED5"/>
    <w:rsid w:val="00B46587"/>
    <w:rsid w:val="00B56297"/>
    <w:rsid w:val="00B82463"/>
    <w:rsid w:val="00B85FFC"/>
    <w:rsid w:val="00BA704A"/>
    <w:rsid w:val="00BB0EA5"/>
    <w:rsid w:val="00BB6CEA"/>
    <w:rsid w:val="00BC0983"/>
    <w:rsid w:val="00BC3614"/>
    <w:rsid w:val="00BC626F"/>
    <w:rsid w:val="00BD515F"/>
    <w:rsid w:val="00BD5810"/>
    <w:rsid w:val="00BE5477"/>
    <w:rsid w:val="00BE700A"/>
    <w:rsid w:val="00BF033C"/>
    <w:rsid w:val="00BF6B27"/>
    <w:rsid w:val="00C15EA2"/>
    <w:rsid w:val="00C35B10"/>
    <w:rsid w:val="00C428C9"/>
    <w:rsid w:val="00C47F04"/>
    <w:rsid w:val="00C6771A"/>
    <w:rsid w:val="00C70D45"/>
    <w:rsid w:val="00CC6A66"/>
    <w:rsid w:val="00CC6F5A"/>
    <w:rsid w:val="00CD34C3"/>
    <w:rsid w:val="00CE0990"/>
    <w:rsid w:val="00CE3149"/>
    <w:rsid w:val="00D01034"/>
    <w:rsid w:val="00D029F0"/>
    <w:rsid w:val="00D20626"/>
    <w:rsid w:val="00D24C31"/>
    <w:rsid w:val="00D31592"/>
    <w:rsid w:val="00D44DF7"/>
    <w:rsid w:val="00D45622"/>
    <w:rsid w:val="00D55802"/>
    <w:rsid w:val="00D727D4"/>
    <w:rsid w:val="00D818B8"/>
    <w:rsid w:val="00DA55A1"/>
    <w:rsid w:val="00DC1540"/>
    <w:rsid w:val="00DC4AFA"/>
    <w:rsid w:val="00DE2C59"/>
    <w:rsid w:val="00DE5367"/>
    <w:rsid w:val="00DE5C1D"/>
    <w:rsid w:val="00DE6FC9"/>
    <w:rsid w:val="00DF0734"/>
    <w:rsid w:val="00DF3D8F"/>
    <w:rsid w:val="00DF48D2"/>
    <w:rsid w:val="00DF64B0"/>
    <w:rsid w:val="00E03B71"/>
    <w:rsid w:val="00E1498B"/>
    <w:rsid w:val="00E311E0"/>
    <w:rsid w:val="00E403D6"/>
    <w:rsid w:val="00E41AF3"/>
    <w:rsid w:val="00E4324B"/>
    <w:rsid w:val="00E5186F"/>
    <w:rsid w:val="00E63590"/>
    <w:rsid w:val="00E7165A"/>
    <w:rsid w:val="00E73E2B"/>
    <w:rsid w:val="00E760E2"/>
    <w:rsid w:val="00E91E1F"/>
    <w:rsid w:val="00E9705D"/>
    <w:rsid w:val="00EA54F0"/>
    <w:rsid w:val="00EC25CD"/>
    <w:rsid w:val="00EC2AAB"/>
    <w:rsid w:val="00ED794F"/>
    <w:rsid w:val="00EE2408"/>
    <w:rsid w:val="00EE29A3"/>
    <w:rsid w:val="00F055C8"/>
    <w:rsid w:val="00F056AB"/>
    <w:rsid w:val="00F21C6A"/>
    <w:rsid w:val="00F31AAE"/>
    <w:rsid w:val="00F34B08"/>
    <w:rsid w:val="00F36625"/>
    <w:rsid w:val="00F37B3E"/>
    <w:rsid w:val="00F523E4"/>
    <w:rsid w:val="00F5433A"/>
    <w:rsid w:val="00F56B66"/>
    <w:rsid w:val="00F7025D"/>
    <w:rsid w:val="00F86BA2"/>
    <w:rsid w:val="00F877FC"/>
    <w:rsid w:val="00F92CD8"/>
    <w:rsid w:val="00F94C30"/>
    <w:rsid w:val="00F978C0"/>
    <w:rsid w:val="00FA2FB6"/>
    <w:rsid w:val="00FA3559"/>
    <w:rsid w:val="00FA66D7"/>
    <w:rsid w:val="00FB0D84"/>
    <w:rsid w:val="00FC2113"/>
    <w:rsid w:val="00FC59C4"/>
    <w:rsid w:val="00FE1A1A"/>
    <w:rsid w:val="00FE4750"/>
    <w:rsid w:val="00FF0D80"/>
    <w:rsid w:val="00FF47AA"/>
    <w:rsid w:val="00FF6E4F"/>
    <w:rsid w:val="01100FE9"/>
    <w:rsid w:val="01191C13"/>
    <w:rsid w:val="0174408F"/>
    <w:rsid w:val="01EB3CBC"/>
    <w:rsid w:val="02054F52"/>
    <w:rsid w:val="02812014"/>
    <w:rsid w:val="028514E5"/>
    <w:rsid w:val="0294548D"/>
    <w:rsid w:val="02DA1E86"/>
    <w:rsid w:val="03431AE8"/>
    <w:rsid w:val="03E11716"/>
    <w:rsid w:val="043A70EE"/>
    <w:rsid w:val="04C56D37"/>
    <w:rsid w:val="04E1412D"/>
    <w:rsid w:val="05050ED7"/>
    <w:rsid w:val="05AC1741"/>
    <w:rsid w:val="067B6331"/>
    <w:rsid w:val="067E19D3"/>
    <w:rsid w:val="06907C8A"/>
    <w:rsid w:val="06D9006E"/>
    <w:rsid w:val="07A435A1"/>
    <w:rsid w:val="07AF4ADF"/>
    <w:rsid w:val="07B519B0"/>
    <w:rsid w:val="08800554"/>
    <w:rsid w:val="093F1941"/>
    <w:rsid w:val="096613C6"/>
    <w:rsid w:val="09784133"/>
    <w:rsid w:val="099C3602"/>
    <w:rsid w:val="09D52A5E"/>
    <w:rsid w:val="0A6A1909"/>
    <w:rsid w:val="0ABC3F07"/>
    <w:rsid w:val="0AED4922"/>
    <w:rsid w:val="0B6A2CB6"/>
    <w:rsid w:val="0B946ED9"/>
    <w:rsid w:val="0BB43AE6"/>
    <w:rsid w:val="0C164AD4"/>
    <w:rsid w:val="0C18146C"/>
    <w:rsid w:val="0C256353"/>
    <w:rsid w:val="0C3128AD"/>
    <w:rsid w:val="0C355FA4"/>
    <w:rsid w:val="0C68068F"/>
    <w:rsid w:val="0CA630C4"/>
    <w:rsid w:val="0CA80B7D"/>
    <w:rsid w:val="0D6F3FA6"/>
    <w:rsid w:val="0D9F39E0"/>
    <w:rsid w:val="0DB7375B"/>
    <w:rsid w:val="0DFB69C6"/>
    <w:rsid w:val="0E3D4DF8"/>
    <w:rsid w:val="0E590265"/>
    <w:rsid w:val="0F23492E"/>
    <w:rsid w:val="0F9A022A"/>
    <w:rsid w:val="0FA44916"/>
    <w:rsid w:val="10451DFC"/>
    <w:rsid w:val="11511F9D"/>
    <w:rsid w:val="116C7C98"/>
    <w:rsid w:val="117070A8"/>
    <w:rsid w:val="118024EE"/>
    <w:rsid w:val="12291106"/>
    <w:rsid w:val="12C901C5"/>
    <w:rsid w:val="13907778"/>
    <w:rsid w:val="13DB4444"/>
    <w:rsid w:val="13F94990"/>
    <w:rsid w:val="1436206D"/>
    <w:rsid w:val="14E15551"/>
    <w:rsid w:val="18B03729"/>
    <w:rsid w:val="18E0630A"/>
    <w:rsid w:val="1A0804C6"/>
    <w:rsid w:val="1B2B2CE1"/>
    <w:rsid w:val="1B6F257E"/>
    <w:rsid w:val="1B716FBB"/>
    <w:rsid w:val="1B727610"/>
    <w:rsid w:val="1B804101"/>
    <w:rsid w:val="1B9B3204"/>
    <w:rsid w:val="1BA666C6"/>
    <w:rsid w:val="1BC83947"/>
    <w:rsid w:val="1BCD11B5"/>
    <w:rsid w:val="1BD14A52"/>
    <w:rsid w:val="1C082E69"/>
    <w:rsid w:val="1C2536D2"/>
    <w:rsid w:val="1C47411A"/>
    <w:rsid w:val="1C6C44D8"/>
    <w:rsid w:val="1C6F2FFB"/>
    <w:rsid w:val="1CAE5B75"/>
    <w:rsid w:val="1CB36703"/>
    <w:rsid w:val="1DB22DDE"/>
    <w:rsid w:val="1E1E4013"/>
    <w:rsid w:val="1EB6009A"/>
    <w:rsid w:val="1ECF23B6"/>
    <w:rsid w:val="1EF32A1A"/>
    <w:rsid w:val="1F540919"/>
    <w:rsid w:val="204D7006"/>
    <w:rsid w:val="218514A5"/>
    <w:rsid w:val="21BC6649"/>
    <w:rsid w:val="21BE4919"/>
    <w:rsid w:val="21C65EE8"/>
    <w:rsid w:val="21E135DA"/>
    <w:rsid w:val="21ED32F4"/>
    <w:rsid w:val="21F275B8"/>
    <w:rsid w:val="22C2536E"/>
    <w:rsid w:val="22EC737A"/>
    <w:rsid w:val="2336158C"/>
    <w:rsid w:val="239E41B8"/>
    <w:rsid w:val="23BE7A41"/>
    <w:rsid w:val="23CF3C15"/>
    <w:rsid w:val="23E741E7"/>
    <w:rsid w:val="24081AA6"/>
    <w:rsid w:val="244871F4"/>
    <w:rsid w:val="24681A64"/>
    <w:rsid w:val="247B487A"/>
    <w:rsid w:val="24AF6E42"/>
    <w:rsid w:val="24DD4A9C"/>
    <w:rsid w:val="25DD476E"/>
    <w:rsid w:val="25E01651"/>
    <w:rsid w:val="26276CAA"/>
    <w:rsid w:val="26FA08B1"/>
    <w:rsid w:val="27052C39"/>
    <w:rsid w:val="272E2830"/>
    <w:rsid w:val="2786200B"/>
    <w:rsid w:val="278F391C"/>
    <w:rsid w:val="296E5B43"/>
    <w:rsid w:val="29980D8D"/>
    <w:rsid w:val="29D64387"/>
    <w:rsid w:val="2A3C65D6"/>
    <w:rsid w:val="2A861EC3"/>
    <w:rsid w:val="2AAC40CF"/>
    <w:rsid w:val="2B011349"/>
    <w:rsid w:val="2B106488"/>
    <w:rsid w:val="2B52145E"/>
    <w:rsid w:val="2B7D354C"/>
    <w:rsid w:val="2B9A59A4"/>
    <w:rsid w:val="2B9E62E2"/>
    <w:rsid w:val="2BC20D01"/>
    <w:rsid w:val="2BDE68C9"/>
    <w:rsid w:val="2C092A3E"/>
    <w:rsid w:val="2D0D5690"/>
    <w:rsid w:val="2D96672E"/>
    <w:rsid w:val="2DE0761B"/>
    <w:rsid w:val="2E5F5F57"/>
    <w:rsid w:val="2FA97C20"/>
    <w:rsid w:val="2FE3756A"/>
    <w:rsid w:val="30172682"/>
    <w:rsid w:val="30330C28"/>
    <w:rsid w:val="30C3426D"/>
    <w:rsid w:val="31A65A6E"/>
    <w:rsid w:val="31C51FFF"/>
    <w:rsid w:val="31FC5A85"/>
    <w:rsid w:val="3200110E"/>
    <w:rsid w:val="32C22D17"/>
    <w:rsid w:val="33986DF3"/>
    <w:rsid w:val="33993FD0"/>
    <w:rsid w:val="34235A5D"/>
    <w:rsid w:val="350C5357"/>
    <w:rsid w:val="352E0DF1"/>
    <w:rsid w:val="355D56FE"/>
    <w:rsid w:val="35606A1A"/>
    <w:rsid w:val="358F428F"/>
    <w:rsid w:val="35A93152"/>
    <w:rsid w:val="35D44554"/>
    <w:rsid w:val="35DA38C7"/>
    <w:rsid w:val="35FD214C"/>
    <w:rsid w:val="361F3FDA"/>
    <w:rsid w:val="367B2366"/>
    <w:rsid w:val="36972B7D"/>
    <w:rsid w:val="378439DE"/>
    <w:rsid w:val="37F15622"/>
    <w:rsid w:val="386C76EC"/>
    <w:rsid w:val="3872527B"/>
    <w:rsid w:val="388360ED"/>
    <w:rsid w:val="38DA7483"/>
    <w:rsid w:val="38F65CAB"/>
    <w:rsid w:val="38F97885"/>
    <w:rsid w:val="392151C6"/>
    <w:rsid w:val="3A4165FF"/>
    <w:rsid w:val="3B9612B8"/>
    <w:rsid w:val="3BE4341D"/>
    <w:rsid w:val="3BEE440A"/>
    <w:rsid w:val="3C02569F"/>
    <w:rsid w:val="3C7D1EAA"/>
    <w:rsid w:val="3D150521"/>
    <w:rsid w:val="3D592877"/>
    <w:rsid w:val="3D9341F0"/>
    <w:rsid w:val="3E1C3630"/>
    <w:rsid w:val="3E443398"/>
    <w:rsid w:val="3F337402"/>
    <w:rsid w:val="3F8A0E7B"/>
    <w:rsid w:val="3FD72951"/>
    <w:rsid w:val="40071600"/>
    <w:rsid w:val="404F1C28"/>
    <w:rsid w:val="40E03E16"/>
    <w:rsid w:val="40FD7CDD"/>
    <w:rsid w:val="4198465E"/>
    <w:rsid w:val="41B84255"/>
    <w:rsid w:val="42016C2C"/>
    <w:rsid w:val="433043B6"/>
    <w:rsid w:val="4483779A"/>
    <w:rsid w:val="45154B5D"/>
    <w:rsid w:val="45653C13"/>
    <w:rsid w:val="456B3E9E"/>
    <w:rsid w:val="457E7E5B"/>
    <w:rsid w:val="470432C2"/>
    <w:rsid w:val="4711478F"/>
    <w:rsid w:val="472B10AE"/>
    <w:rsid w:val="4754057F"/>
    <w:rsid w:val="478C6C00"/>
    <w:rsid w:val="478D1CAE"/>
    <w:rsid w:val="48F36874"/>
    <w:rsid w:val="490B70C0"/>
    <w:rsid w:val="497B0F86"/>
    <w:rsid w:val="499047DD"/>
    <w:rsid w:val="49A36793"/>
    <w:rsid w:val="4A0F2325"/>
    <w:rsid w:val="4AA34D0F"/>
    <w:rsid w:val="4B091669"/>
    <w:rsid w:val="4B613B21"/>
    <w:rsid w:val="4BDF1317"/>
    <w:rsid w:val="4BE5071F"/>
    <w:rsid w:val="4C9D48C4"/>
    <w:rsid w:val="4D5E328B"/>
    <w:rsid w:val="4EB031D2"/>
    <w:rsid w:val="4F166208"/>
    <w:rsid w:val="4F4F361A"/>
    <w:rsid w:val="4FA86D57"/>
    <w:rsid w:val="4FB11AAB"/>
    <w:rsid w:val="4FCA455F"/>
    <w:rsid w:val="4FEE6D41"/>
    <w:rsid w:val="501F5A50"/>
    <w:rsid w:val="5142646B"/>
    <w:rsid w:val="52392339"/>
    <w:rsid w:val="52DD2BFE"/>
    <w:rsid w:val="53141E83"/>
    <w:rsid w:val="532B48E6"/>
    <w:rsid w:val="53BB7CF6"/>
    <w:rsid w:val="53BD7EE4"/>
    <w:rsid w:val="541016A7"/>
    <w:rsid w:val="543C443D"/>
    <w:rsid w:val="54C706AC"/>
    <w:rsid w:val="55551D52"/>
    <w:rsid w:val="56CE77A4"/>
    <w:rsid w:val="571C64A4"/>
    <w:rsid w:val="579776E2"/>
    <w:rsid w:val="58491E15"/>
    <w:rsid w:val="586078BC"/>
    <w:rsid w:val="58827460"/>
    <w:rsid w:val="58AF797F"/>
    <w:rsid w:val="59264F6C"/>
    <w:rsid w:val="59CF12E4"/>
    <w:rsid w:val="59CF6D09"/>
    <w:rsid w:val="59D60DA6"/>
    <w:rsid w:val="59EB532E"/>
    <w:rsid w:val="59F8695A"/>
    <w:rsid w:val="5A140D04"/>
    <w:rsid w:val="5AB51A0E"/>
    <w:rsid w:val="5AB80CD0"/>
    <w:rsid w:val="5AEB0314"/>
    <w:rsid w:val="5BDD53F7"/>
    <w:rsid w:val="5C875832"/>
    <w:rsid w:val="5D071616"/>
    <w:rsid w:val="5E6901E2"/>
    <w:rsid w:val="5ED21074"/>
    <w:rsid w:val="5F272757"/>
    <w:rsid w:val="5F2D731E"/>
    <w:rsid w:val="5F50798C"/>
    <w:rsid w:val="6019117B"/>
    <w:rsid w:val="62B66B81"/>
    <w:rsid w:val="62FF2556"/>
    <w:rsid w:val="634F58A9"/>
    <w:rsid w:val="6374671D"/>
    <w:rsid w:val="638235EA"/>
    <w:rsid w:val="63C004F8"/>
    <w:rsid w:val="645C37EA"/>
    <w:rsid w:val="64BF451E"/>
    <w:rsid w:val="655178B8"/>
    <w:rsid w:val="655B5332"/>
    <w:rsid w:val="664D280A"/>
    <w:rsid w:val="66A11C31"/>
    <w:rsid w:val="67245A94"/>
    <w:rsid w:val="673A3822"/>
    <w:rsid w:val="674565A8"/>
    <w:rsid w:val="67F41B40"/>
    <w:rsid w:val="680B2AD1"/>
    <w:rsid w:val="691368DA"/>
    <w:rsid w:val="69B33E23"/>
    <w:rsid w:val="69B44745"/>
    <w:rsid w:val="69B62413"/>
    <w:rsid w:val="69BA4291"/>
    <w:rsid w:val="69E06E03"/>
    <w:rsid w:val="69FB1AD3"/>
    <w:rsid w:val="6BC5136B"/>
    <w:rsid w:val="6BED4F56"/>
    <w:rsid w:val="6BEE51DB"/>
    <w:rsid w:val="6C961412"/>
    <w:rsid w:val="6CC326BF"/>
    <w:rsid w:val="6CD1415D"/>
    <w:rsid w:val="6CFE52E5"/>
    <w:rsid w:val="6D274020"/>
    <w:rsid w:val="6D293BEA"/>
    <w:rsid w:val="6D645E9F"/>
    <w:rsid w:val="6D875FED"/>
    <w:rsid w:val="6DBD278B"/>
    <w:rsid w:val="6E3B0461"/>
    <w:rsid w:val="6E46284C"/>
    <w:rsid w:val="6E574FE5"/>
    <w:rsid w:val="6EBF3F38"/>
    <w:rsid w:val="6F332041"/>
    <w:rsid w:val="6F383521"/>
    <w:rsid w:val="6F41378E"/>
    <w:rsid w:val="6FD0035F"/>
    <w:rsid w:val="70265007"/>
    <w:rsid w:val="71824867"/>
    <w:rsid w:val="71886239"/>
    <w:rsid w:val="71FC68EA"/>
    <w:rsid w:val="72136D90"/>
    <w:rsid w:val="723E38F4"/>
    <w:rsid w:val="72454F16"/>
    <w:rsid w:val="726522CE"/>
    <w:rsid w:val="728E641E"/>
    <w:rsid w:val="72C14E07"/>
    <w:rsid w:val="72CE14D9"/>
    <w:rsid w:val="73881867"/>
    <w:rsid w:val="73AE0D77"/>
    <w:rsid w:val="73E46962"/>
    <w:rsid w:val="74CE6868"/>
    <w:rsid w:val="75B87C40"/>
    <w:rsid w:val="75DD289D"/>
    <w:rsid w:val="75DE7090"/>
    <w:rsid w:val="768635D1"/>
    <w:rsid w:val="76A40168"/>
    <w:rsid w:val="76C15D62"/>
    <w:rsid w:val="77285CDF"/>
    <w:rsid w:val="777019E3"/>
    <w:rsid w:val="78020200"/>
    <w:rsid w:val="78181741"/>
    <w:rsid w:val="781A379C"/>
    <w:rsid w:val="79081876"/>
    <w:rsid w:val="79387C03"/>
    <w:rsid w:val="794110BB"/>
    <w:rsid w:val="79C42F49"/>
    <w:rsid w:val="79D2472F"/>
    <w:rsid w:val="7A3A623B"/>
    <w:rsid w:val="7AEE5A4E"/>
    <w:rsid w:val="7B133547"/>
    <w:rsid w:val="7B1F68BE"/>
    <w:rsid w:val="7B7D2B0C"/>
    <w:rsid w:val="7BFE4FFE"/>
    <w:rsid w:val="7C0C4D4E"/>
    <w:rsid w:val="7D2E74C1"/>
    <w:rsid w:val="7D6A06C8"/>
    <w:rsid w:val="7D9A44DD"/>
    <w:rsid w:val="7DD2425D"/>
    <w:rsid w:val="7E62598A"/>
    <w:rsid w:val="7E9643BE"/>
    <w:rsid w:val="7EC2423A"/>
    <w:rsid w:val="7F4E7395"/>
    <w:rsid w:val="7F945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23"/>
    <w:qFormat/>
    <w:uiPriority w:val="0"/>
    <w:pPr>
      <w:keepNext/>
      <w:keepLines/>
      <w:spacing w:beforeLines="0" w:beforeAutospacing="0" w:afterLines="0" w:afterAutospacing="0" w:line="360" w:lineRule="auto"/>
      <w:ind w:firstLine="803" w:firstLineChars="200"/>
      <w:outlineLvl w:val="0"/>
    </w:pPr>
    <w:rPr>
      <w:rFonts w:ascii="Calibri" w:hAnsi="Calibri" w:eastAsia="黑体"/>
      <w:b/>
      <w:kern w:val="44"/>
      <w:sz w:val="28"/>
      <w:szCs w:val="20"/>
    </w:rPr>
  </w:style>
  <w:style w:type="paragraph" w:styleId="4">
    <w:name w:val="heading 2"/>
    <w:basedOn w:val="1"/>
    <w:next w:val="1"/>
    <w:qFormat/>
    <w:uiPriority w:val="0"/>
    <w:pPr>
      <w:keepNext/>
      <w:keepLines/>
      <w:spacing w:beforeLines="0" w:beforeAutospacing="0" w:afterLines="0" w:afterAutospacing="0" w:line="360" w:lineRule="auto"/>
      <w:ind w:firstLine="803" w:firstLineChars="200"/>
      <w:outlineLvl w:val="1"/>
    </w:pPr>
    <w:rPr>
      <w:rFonts w:ascii="Arial" w:hAnsi="Arial" w:eastAsia="黑体"/>
      <w:b/>
      <w:sz w:val="24"/>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widowControl/>
      <w:spacing w:after="120"/>
      <w:ind w:left="1440" w:right="1440"/>
    </w:pPr>
    <w:rPr>
      <w:rFonts w:ascii="Garamond" w:hAnsi="Garamond" w:eastAsia="Times New Roman" w:cs="宋体"/>
      <w:spacing w:val="-2"/>
      <w:kern w:val="1"/>
      <w:sz w:val="24"/>
      <w:szCs w:val="22"/>
      <w:lang w:val="en-US" w:eastAsia="zh-CN" w:bidi="ar-SA"/>
    </w:rPr>
  </w:style>
  <w:style w:type="paragraph" w:styleId="6">
    <w:name w:val="annotation text"/>
    <w:basedOn w:val="1"/>
    <w:qFormat/>
    <w:uiPriority w:val="0"/>
    <w:pPr>
      <w:jc w:val="left"/>
    </w:pPr>
  </w:style>
  <w:style w:type="paragraph" w:styleId="7">
    <w:name w:val="Body Text Indent"/>
    <w:basedOn w:val="1"/>
    <w:semiHidden/>
    <w:qFormat/>
    <w:uiPriority w:val="0"/>
    <w:pPr>
      <w:spacing w:before="100" w:beforeAutospacing="1" w:after="100" w:afterAutospacing="1" w:line="360" w:lineRule="auto"/>
      <w:ind w:firstLine="480" w:firstLineChars="200"/>
    </w:pPr>
    <w:rPr>
      <w:rFonts w:ascii="仿宋_GB2312" w:hAnsi="Calibri" w:eastAsia="仿宋_GB2312"/>
      <w:szCs w:val="20"/>
    </w:rPr>
  </w:style>
  <w:style w:type="paragraph" w:styleId="8">
    <w:name w:val="toc 3"/>
    <w:basedOn w:val="1"/>
    <w:next w:val="1"/>
    <w:unhideWhenUsed/>
    <w:qFormat/>
    <w:uiPriority w:val="39"/>
    <w:pPr>
      <w:ind w:left="840" w:leftChars="400"/>
    </w:pPr>
  </w:style>
  <w:style w:type="paragraph" w:styleId="9">
    <w:name w:val="Date"/>
    <w:basedOn w:val="1"/>
    <w:next w:val="1"/>
    <w:link w:val="24"/>
    <w:unhideWhenUsed/>
    <w:qFormat/>
    <w:uiPriority w:val="99"/>
    <w:pPr>
      <w:ind w:left="100" w:leftChars="2500"/>
    </w:pPr>
  </w:style>
  <w:style w:type="paragraph" w:styleId="10">
    <w:name w:val="Balloon Text"/>
    <w:basedOn w:val="1"/>
    <w:link w:val="25"/>
    <w:unhideWhenUsed/>
    <w:qFormat/>
    <w:uiPriority w:val="99"/>
    <w:rPr>
      <w:rFonts w:ascii="Calibri" w:hAnsi="Calibri"/>
      <w:sz w:val="18"/>
      <w:szCs w:val="18"/>
    </w:rPr>
  </w:style>
  <w:style w:type="paragraph" w:styleId="11">
    <w:name w:val="footer"/>
    <w:basedOn w:val="1"/>
    <w:link w:val="26"/>
    <w:qFormat/>
    <w:uiPriority w:val="0"/>
    <w:pPr>
      <w:tabs>
        <w:tab w:val="center" w:pos="4153"/>
        <w:tab w:val="right" w:pos="8306"/>
      </w:tabs>
      <w:snapToGrid w:val="0"/>
      <w:jc w:val="left"/>
    </w:pPr>
    <w:rPr>
      <w:rFonts w:ascii="Calibri" w:hAnsi="Calibri"/>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qFormat/>
    <w:uiPriority w:val="39"/>
    <w:pPr>
      <w:spacing w:line="240" w:lineRule="auto"/>
      <w:ind w:firstLine="0" w:firstLineChars="0"/>
    </w:pPr>
    <w:rPr>
      <w:rFonts w:eastAsia="黑体"/>
      <w:sz w:val="21"/>
    </w:rPr>
  </w:style>
  <w:style w:type="paragraph" w:styleId="14">
    <w:name w:val="Subtitle"/>
    <w:basedOn w:val="1"/>
    <w:next w:val="1"/>
    <w:link w:val="28"/>
    <w:qFormat/>
    <w:uiPriority w:val="11"/>
    <w:pPr>
      <w:spacing w:before="240" w:after="60" w:line="312" w:lineRule="auto"/>
      <w:jc w:val="center"/>
      <w:outlineLvl w:val="1"/>
    </w:pPr>
    <w:rPr>
      <w:rFonts w:ascii="Calibri Light" w:hAnsi="Calibri Light"/>
      <w:b/>
      <w:bCs/>
      <w:kern w:val="28"/>
      <w:sz w:val="32"/>
      <w:szCs w:val="32"/>
    </w:rPr>
  </w:style>
  <w:style w:type="paragraph" w:styleId="15">
    <w:name w:val="toc 2"/>
    <w:basedOn w:val="1"/>
    <w:next w:val="1"/>
    <w:qFormat/>
    <w:uiPriority w:val="39"/>
    <w:pPr>
      <w:spacing w:line="240" w:lineRule="auto"/>
      <w:ind w:left="200" w:leftChars="200" w:firstLine="0" w:firstLineChars="0"/>
    </w:pPr>
    <w:rPr>
      <w:rFonts w:eastAsia="黑体"/>
      <w:sz w:val="21"/>
    </w:rPr>
  </w:style>
  <w:style w:type="paragraph" w:styleId="1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Title"/>
    <w:basedOn w:val="1"/>
    <w:next w:val="1"/>
    <w:qFormat/>
    <w:uiPriority w:val="10"/>
    <w:pPr>
      <w:jc w:val="left"/>
      <w:outlineLvl w:val="2"/>
    </w:pPr>
    <w:rPr>
      <w:rFonts w:eastAsia="楷体"/>
      <w:b/>
      <w:bCs/>
      <w:sz w:val="28"/>
      <w:szCs w:val="3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unhideWhenUsed/>
    <w:qFormat/>
    <w:uiPriority w:val="99"/>
    <w:rPr>
      <w:color w:val="0000FF"/>
      <w:u w:val="single"/>
    </w:rPr>
  </w:style>
  <w:style w:type="character" w:customStyle="1" w:styleId="23">
    <w:name w:val="标题 1 Char"/>
    <w:link w:val="3"/>
    <w:qFormat/>
    <w:uiPriority w:val="0"/>
    <w:rPr>
      <w:rFonts w:ascii="Calibri" w:hAnsi="Calibri" w:eastAsia="黑体"/>
      <w:b/>
      <w:kern w:val="44"/>
      <w:sz w:val="28"/>
    </w:rPr>
  </w:style>
  <w:style w:type="character" w:customStyle="1" w:styleId="24">
    <w:name w:val="日期 Char"/>
    <w:basedOn w:val="20"/>
    <w:link w:val="9"/>
    <w:semiHidden/>
    <w:qFormat/>
    <w:uiPriority w:val="99"/>
  </w:style>
  <w:style w:type="character" w:customStyle="1" w:styleId="25">
    <w:name w:val="批注框文本 Char"/>
    <w:link w:val="10"/>
    <w:semiHidden/>
    <w:qFormat/>
    <w:uiPriority w:val="99"/>
    <w:rPr>
      <w:kern w:val="2"/>
      <w:sz w:val="18"/>
      <w:szCs w:val="18"/>
    </w:rPr>
  </w:style>
  <w:style w:type="character" w:customStyle="1" w:styleId="26">
    <w:name w:val="页脚 Char"/>
    <w:link w:val="11"/>
    <w:qFormat/>
    <w:uiPriority w:val="0"/>
    <w:rPr>
      <w:kern w:val="2"/>
      <w:sz w:val="18"/>
      <w:szCs w:val="18"/>
    </w:rPr>
  </w:style>
  <w:style w:type="character" w:customStyle="1" w:styleId="27">
    <w:name w:val="页眉 Char"/>
    <w:link w:val="12"/>
    <w:qFormat/>
    <w:locked/>
    <w:uiPriority w:val="0"/>
    <w:rPr>
      <w:rFonts w:eastAsia="宋体"/>
      <w:kern w:val="2"/>
      <w:sz w:val="18"/>
      <w:szCs w:val="18"/>
      <w:lang w:val="en-US" w:eastAsia="zh-CN" w:bidi="ar-SA"/>
    </w:rPr>
  </w:style>
  <w:style w:type="character" w:customStyle="1" w:styleId="28">
    <w:name w:val="副标题 Char"/>
    <w:link w:val="14"/>
    <w:qFormat/>
    <w:uiPriority w:val="11"/>
    <w:rPr>
      <w:rFonts w:ascii="Calibri Light" w:hAnsi="Calibri Light"/>
      <w:b/>
      <w:bCs/>
      <w:kern w:val="28"/>
      <w:sz w:val="32"/>
      <w:szCs w:val="32"/>
    </w:rPr>
  </w:style>
  <w:style w:type="paragraph" w:customStyle="1" w:styleId="29">
    <w:name w:val="2"/>
    <w:basedOn w:val="1"/>
    <w:qFormat/>
    <w:uiPriority w:val="99"/>
    <w:pPr>
      <w:spacing w:beforeLines="50" w:afterLines="50" w:line="400" w:lineRule="exact"/>
      <w:ind w:firstLine="562" w:firstLineChars="200"/>
    </w:pPr>
    <w:rPr>
      <w:rFonts w:ascii="宋体" w:hAnsi="宋体"/>
      <w:b/>
      <w:sz w:val="28"/>
    </w:rPr>
  </w:style>
  <w:style w:type="paragraph" w:styleId="30">
    <w:name w:val="List Paragraph"/>
    <w:basedOn w:val="1"/>
    <w:qFormat/>
    <w:uiPriority w:val="34"/>
    <w:pPr>
      <w:ind w:firstLine="420" w:firstLineChars="200"/>
    </w:pPr>
  </w:style>
  <w:style w:type="paragraph" w:customStyle="1" w:styleId="31">
    <w:name w:val="z"/>
    <w:basedOn w:val="1"/>
    <w:qFormat/>
    <w:uiPriority w:val="0"/>
    <w:pPr>
      <w:spacing w:line="400" w:lineRule="exact"/>
      <w:ind w:firstLine="480" w:firstLineChars="200"/>
    </w:pPr>
    <w:rPr>
      <w:sz w:val="24"/>
    </w:rPr>
  </w:style>
  <w:style w:type="paragraph" w:customStyle="1" w:styleId="32">
    <w:name w:val="5"/>
    <w:basedOn w:val="31"/>
    <w:semiHidden/>
    <w:qFormat/>
    <w:uiPriority w:val="0"/>
    <w:pPr>
      <w:jc w:val="center"/>
    </w:pPr>
    <w:rPr>
      <w:rFonts w:ascii="宋体" w:hAnsi="宋体"/>
      <w:sz w:val="18"/>
      <w:szCs w:val="18"/>
    </w:rPr>
  </w:style>
  <w:style w:type="paragraph" w:customStyle="1" w:styleId="33">
    <w:name w:val="6"/>
    <w:basedOn w:val="1"/>
    <w:qFormat/>
    <w:uiPriority w:val="99"/>
    <w:pPr>
      <w:ind w:firstLine="360" w:firstLineChars="200"/>
    </w:pPr>
    <w:rPr>
      <w:rFonts w:ascii="宋体" w:hAnsi="宋体"/>
      <w:sz w:val="18"/>
      <w:szCs w:val="18"/>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6">
    <w:name w:val="标准正文"/>
    <w:basedOn w:val="1"/>
    <w:qFormat/>
    <w:uiPriority w:val="0"/>
    <w:pPr>
      <w:jc w:val="left"/>
    </w:pPr>
    <w:rPr>
      <w:rFonts w:ascii="Calibri" w:hAnsi="Calibri"/>
      <w:szCs w:val="21"/>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24131</Words>
  <Characters>24932</Characters>
  <Lines>203</Lines>
  <Paragraphs>57</Paragraphs>
  <TotalTime>4</TotalTime>
  <ScaleCrop>false</ScaleCrop>
  <LinksUpToDate>false</LinksUpToDate>
  <CharactersWithSpaces>25140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2020-06-01T03:29:00Z</dcterms:created>
  <dc:creator>User</dc:creator>
  <cp:lastModifiedBy>张歆如</cp:lastModifiedBy>
  <cp:lastPrinted>2021-01-20T02:38:00Z</cp:lastPrinted>
  <dcterms:modified xsi:type="dcterms:W3CDTF">2023-03-29T08:03:58Z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A5954120C7B941EEA423F6994F228FDD</vt:lpwstr>
  </property>
</Properties>
</file>